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924315"/>
    <w:bookmarkStart w:id="1" w:name="_Hlk36461553"/>
    <w:p w14:paraId="32257317" w14:textId="7F00C7D2" w:rsidR="005D073E" w:rsidRPr="005D073E" w:rsidRDefault="00B36227" w:rsidP="00B36227">
      <w:pPr>
        <w:pStyle w:val="Title"/>
        <w:spacing w:line="240" w:lineRule="auto"/>
      </w:pPr>
      <w:sdt>
        <w:sdtPr>
          <w:rPr>
            <w:color w:val="FFFFFF" w:themeColor="background1"/>
          </w:rPr>
          <w:alias w:val="Title"/>
          <w:tag w:val=""/>
          <w:id w:val="-702250857"/>
          <w:placeholder>
            <w:docPart w:val="434E3569320D40E083285BADE8D7555A"/>
          </w:placeholder>
          <w:dataBinding w:prefixMappings="xmlns:ns0='http://purl.org/dc/elements/1.1/' xmlns:ns1='http://schemas.openxmlformats.org/package/2006/metadata/core-properties' " w:xpath="/ns1:coreProperties[1]/ns0:title[1]" w:storeItemID="{6C3C8BC8-F283-45AE-878A-BAB7291924A1}"/>
          <w:text/>
        </w:sdtPr>
        <w:sdtEndPr/>
        <w:sdtContent>
          <w:r w:rsidR="004338F6">
            <w:rPr>
              <w:color w:val="FFFFFF" w:themeColor="background1"/>
            </w:rPr>
            <w:t xml:space="preserve">FEDERAL BUDGET </w:t>
          </w:r>
          <w:r w:rsidR="006B3A7A">
            <w:rPr>
              <w:color w:val="FFFFFF" w:themeColor="background1"/>
            </w:rPr>
            <w:t xml:space="preserve">SUMMARY </w:t>
          </w:r>
          <w:r w:rsidR="00291733">
            <w:rPr>
              <w:color w:val="FFFFFF" w:themeColor="background1"/>
            </w:rPr>
            <w:t>May 2023</w:t>
          </w:r>
        </w:sdtContent>
      </w:sdt>
    </w:p>
    <w:bookmarkEnd w:id="0"/>
    <w:bookmarkEnd w:id="1"/>
    <w:p w14:paraId="6751AAE8" w14:textId="199EB534" w:rsidR="00593A3B" w:rsidRDefault="004338C9" w:rsidP="00B36227">
      <w:pPr>
        <w:pStyle w:val="Header1"/>
        <w:spacing w:line="240" w:lineRule="auto"/>
      </w:pPr>
      <w:r>
        <w:rPr>
          <w:noProof/>
        </w:rPr>
        <mc:AlternateContent>
          <mc:Choice Requires="wps">
            <w:drawing>
              <wp:anchor distT="0" distB="0" distL="114300" distR="114300" simplePos="0" relativeHeight="251658752" behindDoc="1" locked="0" layoutInCell="1" allowOverlap="1" wp14:anchorId="789A4DD3" wp14:editId="523DB80F">
                <wp:simplePos x="0" y="0"/>
                <wp:positionH relativeFrom="page">
                  <wp:align>right</wp:align>
                </wp:positionH>
                <wp:positionV relativeFrom="paragraph">
                  <wp:posOffset>-899160</wp:posOffset>
                </wp:positionV>
                <wp:extent cx="7558088" cy="981075"/>
                <wp:effectExtent l="0" t="0" r="5080" b="9525"/>
                <wp:wrapNone/>
                <wp:docPr id="2" name="Rectangle 2"/>
                <wp:cNvGraphicFramePr/>
                <a:graphic xmlns:a="http://schemas.openxmlformats.org/drawingml/2006/main">
                  <a:graphicData uri="http://schemas.microsoft.com/office/word/2010/wordprocessingShape">
                    <wps:wsp>
                      <wps:cNvSpPr/>
                      <wps:spPr>
                        <a:xfrm>
                          <a:off x="0" y="0"/>
                          <a:ext cx="7558088" cy="981075"/>
                        </a:xfrm>
                        <a:prstGeom prst="rect">
                          <a:avLst/>
                        </a:prstGeom>
                        <a:solidFill>
                          <a:schemeClr val="accent2">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789A1" id="Rectangle 2" o:spid="_x0000_s1026" style="position:absolute;margin-left:543.95pt;margin-top:-70.8pt;width:595.15pt;height:77.25pt;z-index:-2516577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" fillcolor="#28a0bf [3205]" stroked="f" strokeweight="1pt">
                <v:fill opacity="46003f"/>
                <w10:wrap anchorx="page"/>
              </v:rect>
            </w:pict>
          </mc:Fallback>
        </mc:AlternateContent>
      </w:r>
    </w:p>
    <w:p w14:paraId="2BA3A6BF" w14:textId="77777777" w:rsidR="00227D85" w:rsidRDefault="00202458" w:rsidP="00B36227">
      <w:pPr>
        <w:pStyle w:val="Header1"/>
        <w:spacing w:before="0" w:after="120" w:line="240" w:lineRule="auto"/>
      </w:pPr>
      <w:r>
        <w:t>Introduction</w:t>
      </w:r>
    </w:p>
    <w:p w14:paraId="51608540" w14:textId="2D3DC988" w:rsidR="006E1DC0" w:rsidRPr="001E0A74" w:rsidRDefault="00291733" w:rsidP="00B36227">
      <w:pPr>
        <w:pStyle w:val="BodyText"/>
        <w:spacing w:line="240" w:lineRule="auto"/>
        <w:rPr>
          <w:color w:val="auto"/>
        </w:rPr>
      </w:pPr>
      <w:r w:rsidRPr="001E0A74">
        <w:rPr>
          <w:color w:val="auto"/>
        </w:rPr>
        <w:t xml:space="preserve">On the evening of 9 May 2023, the </w:t>
      </w:r>
      <w:r w:rsidR="00C03EF1">
        <w:rPr>
          <w:color w:val="auto"/>
        </w:rPr>
        <w:t>G</w:t>
      </w:r>
      <w:r w:rsidRPr="001E0A74">
        <w:rPr>
          <w:color w:val="auto"/>
        </w:rPr>
        <w:t>overnment delivered its second Budget in the current parliamentary te</w:t>
      </w:r>
      <w:r w:rsidR="006E1DC0" w:rsidRPr="001E0A74">
        <w:rPr>
          <w:color w:val="auto"/>
        </w:rPr>
        <w:t>rm.</w:t>
      </w:r>
    </w:p>
    <w:p w14:paraId="7C66E49A" w14:textId="22808347" w:rsidR="009127C9" w:rsidRPr="001E0A74" w:rsidRDefault="002229FF" w:rsidP="00B36227">
      <w:pPr>
        <w:pStyle w:val="BodyText"/>
        <w:spacing w:line="240" w:lineRule="auto"/>
        <w:rPr>
          <w:color w:val="auto"/>
        </w:rPr>
      </w:pPr>
      <w:r w:rsidRPr="001E0A74">
        <w:rPr>
          <w:color w:val="auto"/>
        </w:rPr>
        <w:t>Inflationary</w:t>
      </w:r>
      <w:r w:rsidR="007E48A6" w:rsidRPr="001E0A74">
        <w:rPr>
          <w:color w:val="auto"/>
        </w:rPr>
        <w:t xml:space="preserve"> pressures, interest rates and escalating cost</w:t>
      </w:r>
      <w:r w:rsidR="001C0948" w:rsidRPr="001E0A74">
        <w:rPr>
          <w:color w:val="auto"/>
        </w:rPr>
        <w:t>s</w:t>
      </w:r>
      <w:r w:rsidR="007E48A6" w:rsidRPr="001E0A74">
        <w:rPr>
          <w:color w:val="auto"/>
        </w:rPr>
        <w:t xml:space="preserve"> of living ha</w:t>
      </w:r>
      <w:r w:rsidR="00261B56" w:rsidRPr="001E0A74">
        <w:rPr>
          <w:color w:val="auto"/>
        </w:rPr>
        <w:t>ve</w:t>
      </w:r>
      <w:r w:rsidR="007E48A6" w:rsidRPr="001E0A74">
        <w:rPr>
          <w:color w:val="auto"/>
        </w:rPr>
        <w:t xml:space="preserve"> all had a significant impact on</w:t>
      </w:r>
      <w:r w:rsidR="001C0948" w:rsidRPr="001E0A74">
        <w:rPr>
          <w:color w:val="auto"/>
        </w:rPr>
        <w:t xml:space="preserve"> the lives of every-day</w:t>
      </w:r>
      <w:r w:rsidR="008A63BE" w:rsidRPr="001E0A74">
        <w:rPr>
          <w:color w:val="auto"/>
        </w:rPr>
        <w:t xml:space="preserve"> Australians. The Budget </w:t>
      </w:r>
      <w:r w:rsidR="00C45D70" w:rsidRPr="001E0A74">
        <w:rPr>
          <w:color w:val="auto"/>
        </w:rPr>
        <w:t>needs to</w:t>
      </w:r>
      <w:r w:rsidR="008A63BE" w:rsidRPr="001E0A74">
        <w:rPr>
          <w:color w:val="auto"/>
        </w:rPr>
        <w:t xml:space="preserve"> deliver the </w:t>
      </w:r>
      <w:r w:rsidR="00563039" w:rsidRPr="001E0A74">
        <w:rPr>
          <w:color w:val="auto"/>
        </w:rPr>
        <w:t>right b</w:t>
      </w:r>
      <w:r w:rsidRPr="001E0A74">
        <w:rPr>
          <w:color w:val="auto"/>
        </w:rPr>
        <w:t>alance of spending and savings.</w:t>
      </w:r>
      <w:r w:rsidR="005765C0" w:rsidRPr="001E0A74">
        <w:rPr>
          <w:color w:val="auto"/>
        </w:rPr>
        <w:t xml:space="preserve"> </w:t>
      </w:r>
    </w:p>
    <w:p w14:paraId="359928B6" w14:textId="03DFDBBA" w:rsidR="002229FF" w:rsidRPr="001E0A74" w:rsidRDefault="005765C0" w:rsidP="00B36227">
      <w:pPr>
        <w:pStyle w:val="BodyText"/>
        <w:spacing w:line="240" w:lineRule="auto"/>
        <w:rPr>
          <w:color w:val="auto"/>
        </w:rPr>
      </w:pPr>
      <w:r w:rsidRPr="001E0A74">
        <w:rPr>
          <w:color w:val="auto"/>
        </w:rPr>
        <w:t xml:space="preserve">This year’s Budget has a </w:t>
      </w:r>
      <w:r w:rsidR="009127C9" w:rsidRPr="001E0A74">
        <w:rPr>
          <w:color w:val="auto"/>
        </w:rPr>
        <w:t>strong</w:t>
      </w:r>
      <w:r w:rsidRPr="001E0A74">
        <w:rPr>
          <w:color w:val="auto"/>
        </w:rPr>
        <w:t xml:space="preserve"> emphasis on providing cost of living rel</w:t>
      </w:r>
      <w:r w:rsidR="009127C9" w:rsidRPr="001E0A74">
        <w:rPr>
          <w:color w:val="auto"/>
        </w:rPr>
        <w:t>ief, strengthening Medicare, and investing in a stronger and more secure economy.</w:t>
      </w:r>
      <w:r w:rsidRPr="001E0A74">
        <w:rPr>
          <w:color w:val="auto"/>
        </w:rPr>
        <w:t xml:space="preserve"> </w:t>
      </w:r>
      <w:r w:rsidR="009127C9" w:rsidRPr="001E0A74">
        <w:rPr>
          <w:color w:val="auto"/>
        </w:rPr>
        <w:t xml:space="preserve">There were </w:t>
      </w:r>
      <w:r w:rsidR="00EE5256" w:rsidRPr="001E0A74">
        <w:rPr>
          <w:color w:val="auto"/>
        </w:rPr>
        <w:t xml:space="preserve">very few surprises and most of the significant announcements </w:t>
      </w:r>
      <w:r w:rsidR="008978A5" w:rsidRPr="001E0A74">
        <w:rPr>
          <w:color w:val="auto"/>
        </w:rPr>
        <w:t>had been</w:t>
      </w:r>
      <w:r w:rsidR="00EE5256" w:rsidRPr="001E0A74">
        <w:rPr>
          <w:color w:val="auto"/>
        </w:rPr>
        <w:t xml:space="preserve"> made prior to the Budget being released. </w:t>
      </w:r>
    </w:p>
    <w:p w14:paraId="7C229B8D" w14:textId="5ADE63F6" w:rsidR="009258AC" w:rsidRPr="001E0A74" w:rsidRDefault="002229FF" w:rsidP="00B36227">
      <w:pPr>
        <w:pStyle w:val="BodyText"/>
        <w:spacing w:line="240" w:lineRule="auto"/>
        <w:rPr>
          <w:color w:val="auto"/>
        </w:rPr>
      </w:pPr>
      <w:r w:rsidRPr="001E0A74">
        <w:rPr>
          <w:color w:val="auto"/>
        </w:rPr>
        <w:t>Im</w:t>
      </w:r>
      <w:r w:rsidR="004812A3" w:rsidRPr="001E0A74">
        <w:rPr>
          <w:color w:val="auto"/>
        </w:rPr>
        <w:t>portantly, i</w:t>
      </w:r>
      <w:r w:rsidR="009258AC" w:rsidRPr="001E0A74">
        <w:rPr>
          <w:color w:val="auto"/>
        </w:rPr>
        <w:t xml:space="preserve">t goes without saying the measures announced in the Budget </w:t>
      </w:r>
      <w:r w:rsidR="000C4A8C" w:rsidRPr="001E0A74">
        <w:rPr>
          <w:color w:val="auto"/>
        </w:rPr>
        <w:t>ar</w:t>
      </w:r>
      <w:r w:rsidR="009258AC" w:rsidRPr="001E0A74">
        <w:rPr>
          <w:color w:val="auto"/>
        </w:rPr>
        <w:t xml:space="preserve">e not a </w:t>
      </w:r>
      <w:r w:rsidR="009258AC" w:rsidRPr="001E0A74">
        <w:rPr>
          <w:rStyle w:val="Emphasis"/>
          <w:rFonts w:ascii="Arial" w:hAnsi="Arial" w:cs="Arial"/>
          <w:color w:val="auto"/>
          <w:szCs w:val="20"/>
        </w:rPr>
        <w:t>fait accompli</w:t>
      </w:r>
      <w:r w:rsidR="009258AC" w:rsidRPr="001E0A74">
        <w:rPr>
          <w:color w:val="auto"/>
        </w:rPr>
        <w:t xml:space="preserve">. They </w:t>
      </w:r>
      <w:r w:rsidR="008A2495" w:rsidRPr="001E0A74">
        <w:rPr>
          <w:color w:val="auto"/>
        </w:rPr>
        <w:t xml:space="preserve">will be subject to the </w:t>
      </w:r>
      <w:r w:rsidR="009258AC" w:rsidRPr="001E0A74">
        <w:rPr>
          <w:color w:val="auto"/>
        </w:rPr>
        <w:t xml:space="preserve">successful passage of </w:t>
      </w:r>
      <w:r w:rsidR="000C4A8C" w:rsidRPr="001E0A74">
        <w:rPr>
          <w:color w:val="auto"/>
        </w:rPr>
        <w:t xml:space="preserve">relevant </w:t>
      </w:r>
      <w:r w:rsidR="009258AC" w:rsidRPr="001E0A74">
        <w:rPr>
          <w:color w:val="auto"/>
        </w:rPr>
        <w:t>legislation.</w:t>
      </w:r>
    </w:p>
    <w:p w14:paraId="5D4DF3C5" w14:textId="77777777" w:rsidR="00227D85" w:rsidRPr="007B2E3D" w:rsidRDefault="00227D85" w:rsidP="00B36227">
      <w:pPr>
        <w:pStyle w:val="Header1"/>
        <w:spacing w:before="0" w:after="120" w:line="240" w:lineRule="auto"/>
        <w:rPr>
          <w:rFonts w:ascii="Arial" w:eastAsia="Arial" w:hAnsi="Arial" w:cs="Arial"/>
          <w:bCs/>
          <w:sz w:val="20"/>
          <w:szCs w:val="20"/>
        </w:rPr>
      </w:pPr>
    </w:p>
    <w:p w14:paraId="00551772" w14:textId="018A07CE" w:rsidR="000A79F3" w:rsidRDefault="00314642" w:rsidP="00B36227">
      <w:pPr>
        <w:pStyle w:val="Header1"/>
        <w:spacing w:before="0" w:line="240" w:lineRule="auto"/>
        <w:rPr>
          <w:rFonts w:ascii="Arial" w:eastAsia="Arial" w:hAnsi="Arial" w:cs="Arial"/>
          <w:bCs/>
          <w:color w:val="1ED1E6"/>
        </w:rPr>
      </w:pPr>
      <w:r>
        <w:rPr>
          <w:rFonts w:ascii="Arial" w:eastAsia="Arial" w:hAnsi="Arial" w:cs="Arial"/>
          <w:bCs/>
          <w:color w:val="1ED1E6"/>
        </w:rPr>
        <w:t>Highlights</w:t>
      </w:r>
    </w:p>
    <w:p w14:paraId="275A2050" w14:textId="77777777" w:rsidR="00B36227" w:rsidRPr="00B36227" w:rsidRDefault="00B36227" w:rsidP="00B36227">
      <w:pPr>
        <w:spacing w:before="0" w:line="240" w:lineRule="auto"/>
      </w:pPr>
    </w:p>
    <w:tbl>
      <w:tblPr>
        <w:tblStyle w:val="CATable"/>
        <w:tblW w:w="9712" w:type="dxa"/>
        <w:tblLook w:val="04A0" w:firstRow="1" w:lastRow="0" w:firstColumn="1" w:lastColumn="0" w:noHBand="0" w:noVBand="1"/>
      </w:tblPr>
      <w:tblGrid>
        <w:gridCol w:w="2152"/>
        <w:gridCol w:w="392"/>
        <w:gridCol w:w="2128"/>
        <w:gridCol w:w="360"/>
        <w:gridCol w:w="2160"/>
        <w:gridCol w:w="360"/>
        <w:gridCol w:w="2160"/>
      </w:tblGrid>
      <w:tr w:rsidR="0036652A" w14:paraId="523C137F" w14:textId="2A412CD5" w:rsidTr="002C7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2" w:type="dxa"/>
          </w:tcPr>
          <w:p w14:paraId="7503E05E" w14:textId="163A7D0F" w:rsidR="00FA1602" w:rsidRPr="00ED4BB9" w:rsidRDefault="0036652A" w:rsidP="00B36227">
            <w:pPr>
              <w:pStyle w:val="Header1"/>
              <w:spacing w:before="0" w:after="120" w:line="240" w:lineRule="auto"/>
              <w:jc w:val="center"/>
              <w:rPr>
                <w:rFonts w:ascii="Arial" w:hAnsi="Arial" w:cs="Arial"/>
                <w:color w:val="auto"/>
              </w:rPr>
            </w:pPr>
            <w:r>
              <w:rPr>
                <w:rFonts w:ascii="Arial" w:hAnsi="Arial" w:cs="Arial"/>
                <w:color w:val="FFFFFF" w:themeColor="background1"/>
              </w:rPr>
              <w:t xml:space="preserve">2022-23 </w:t>
            </w:r>
            <w:r w:rsidR="00ED4BB9" w:rsidRPr="00ED4BB9">
              <w:rPr>
                <w:rFonts w:ascii="Arial" w:hAnsi="Arial" w:cs="Arial"/>
                <w:color w:val="FFFFFF" w:themeColor="background1"/>
              </w:rPr>
              <w:t>Surplus</w:t>
            </w:r>
          </w:p>
        </w:tc>
        <w:tc>
          <w:tcPr>
            <w:tcW w:w="392" w:type="dxa"/>
            <w:shd w:val="clear" w:color="auto" w:fill="auto"/>
          </w:tcPr>
          <w:p w14:paraId="30C35FB9" w14:textId="77777777" w:rsidR="00FA1602" w:rsidRDefault="00FA1602" w:rsidP="00B36227">
            <w:pPr>
              <w:pStyle w:val="Header1"/>
              <w:spacing w:before="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128" w:type="dxa"/>
          </w:tcPr>
          <w:p w14:paraId="5A31816C" w14:textId="4CE60ECC" w:rsidR="00FA1602" w:rsidRDefault="00ED4BB9" w:rsidP="00B36227">
            <w:pPr>
              <w:pStyle w:val="Header1"/>
              <w:spacing w:before="0"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FFFFFF" w:themeColor="background1"/>
              </w:rPr>
              <w:t>Energy bill relief</w:t>
            </w:r>
          </w:p>
        </w:tc>
        <w:tc>
          <w:tcPr>
            <w:tcW w:w="360" w:type="dxa"/>
            <w:shd w:val="clear" w:color="auto" w:fill="auto"/>
          </w:tcPr>
          <w:p w14:paraId="383EE1A7" w14:textId="77777777" w:rsidR="00FA1602" w:rsidRDefault="00FA1602" w:rsidP="00B36227">
            <w:pPr>
              <w:pStyle w:val="Header1"/>
              <w:spacing w:before="0" w:after="120"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160" w:type="dxa"/>
          </w:tcPr>
          <w:p w14:paraId="5FDE9D46" w14:textId="33C55ED4" w:rsidR="00FA1602" w:rsidRDefault="007A3D63" w:rsidP="00B36227">
            <w:pPr>
              <w:pStyle w:val="Header1"/>
              <w:spacing w:before="0"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FFFFFF" w:themeColor="background1"/>
              </w:rPr>
              <w:t>Stre</w:t>
            </w:r>
            <w:r w:rsidR="000477FE">
              <w:rPr>
                <w:rFonts w:ascii="Arial" w:hAnsi="Arial" w:cs="Arial"/>
                <w:color w:val="FFFFFF" w:themeColor="background1"/>
              </w:rPr>
              <w:t xml:space="preserve">nghting </w:t>
            </w:r>
            <w:r w:rsidRPr="007A3D63">
              <w:rPr>
                <w:rFonts w:ascii="Arial" w:hAnsi="Arial" w:cs="Arial"/>
                <w:color w:val="FFFFFF" w:themeColor="background1"/>
              </w:rPr>
              <w:t>Med</w:t>
            </w:r>
            <w:r>
              <w:rPr>
                <w:rFonts w:ascii="Arial" w:hAnsi="Arial" w:cs="Arial"/>
                <w:color w:val="FFFFFF" w:themeColor="background1"/>
              </w:rPr>
              <w:t>ic</w:t>
            </w:r>
            <w:r w:rsidRPr="007A3D63">
              <w:rPr>
                <w:rFonts w:ascii="Arial" w:hAnsi="Arial" w:cs="Arial"/>
                <w:color w:val="FFFFFF" w:themeColor="background1"/>
              </w:rPr>
              <w:t>are</w:t>
            </w:r>
          </w:p>
        </w:tc>
        <w:tc>
          <w:tcPr>
            <w:tcW w:w="360" w:type="dxa"/>
            <w:shd w:val="clear" w:color="auto" w:fill="auto"/>
          </w:tcPr>
          <w:p w14:paraId="7A44637D" w14:textId="77777777" w:rsidR="00FA1602" w:rsidRPr="0036652A" w:rsidRDefault="00FA1602" w:rsidP="00B36227">
            <w:pPr>
              <w:pStyle w:val="Header1"/>
              <w:spacing w:before="0"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p>
        </w:tc>
        <w:tc>
          <w:tcPr>
            <w:tcW w:w="2160" w:type="dxa"/>
          </w:tcPr>
          <w:p w14:paraId="2161B4B5" w14:textId="0D77CABF" w:rsidR="00FA1602" w:rsidRPr="0036652A" w:rsidRDefault="00B40FBE" w:rsidP="00B36227">
            <w:pPr>
              <w:pStyle w:val="Header1"/>
              <w:spacing w:before="0" w:after="12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Pr>
                <w:rFonts w:ascii="Arial" w:hAnsi="Arial" w:cs="Arial"/>
                <w:color w:val="FFFFFF" w:themeColor="background1"/>
              </w:rPr>
              <w:t xml:space="preserve">falling </w:t>
            </w:r>
            <w:r w:rsidR="0036652A" w:rsidRPr="0036652A">
              <w:rPr>
                <w:rFonts w:ascii="Arial" w:hAnsi="Arial" w:cs="Arial"/>
                <w:color w:val="FFFFFF" w:themeColor="background1"/>
              </w:rPr>
              <w:t>Inflation</w:t>
            </w:r>
          </w:p>
        </w:tc>
      </w:tr>
      <w:tr w:rsidR="0036652A" w14:paraId="2E5462F1" w14:textId="16696FD6" w:rsidTr="002C75E4">
        <w:tc>
          <w:tcPr>
            <w:cnfStyle w:val="001000000000" w:firstRow="0" w:lastRow="0" w:firstColumn="1" w:lastColumn="0" w:oddVBand="0" w:evenVBand="0" w:oddHBand="0" w:evenHBand="0" w:firstRowFirstColumn="0" w:firstRowLastColumn="0" w:lastRowFirstColumn="0" w:lastRowLastColumn="0"/>
            <w:tcW w:w="2152" w:type="dxa"/>
            <w:shd w:val="clear" w:color="auto" w:fill="D2F5FA" w:themeFill="accent1" w:themeFillTint="33"/>
          </w:tcPr>
          <w:p w14:paraId="65C4E06D" w14:textId="2ED25852" w:rsidR="00FA1602" w:rsidRPr="00ED4BB9" w:rsidRDefault="00ED4BB9" w:rsidP="00B36227">
            <w:pPr>
              <w:pStyle w:val="Header1"/>
              <w:spacing w:before="0" w:after="120" w:line="240" w:lineRule="auto"/>
              <w:jc w:val="center"/>
              <w:rPr>
                <w:rFonts w:ascii="Arial" w:hAnsi="Arial" w:cs="Arial"/>
                <w:b w:val="0"/>
                <w:bCs/>
                <w:color w:val="auto"/>
              </w:rPr>
            </w:pPr>
            <w:r w:rsidRPr="00ED4BB9">
              <w:rPr>
                <w:rFonts w:ascii="Arial" w:hAnsi="Arial" w:cs="Arial"/>
                <w:b w:val="0"/>
                <w:bCs/>
                <w:color w:val="auto"/>
              </w:rPr>
              <w:t>$4.2</w:t>
            </w:r>
            <w:r w:rsidRPr="004E0F56">
              <w:rPr>
                <w:rFonts w:ascii="Arial" w:hAnsi="Arial" w:cs="Arial"/>
                <w:b w:val="0"/>
                <w:bCs/>
                <w:caps w:val="0"/>
                <w:color w:val="auto"/>
              </w:rPr>
              <w:t>bn</w:t>
            </w:r>
          </w:p>
        </w:tc>
        <w:tc>
          <w:tcPr>
            <w:tcW w:w="392" w:type="dxa"/>
            <w:shd w:val="clear" w:color="auto" w:fill="auto"/>
          </w:tcPr>
          <w:p w14:paraId="4CE2A803" w14:textId="77777777" w:rsidR="00FA1602" w:rsidRDefault="00FA1602" w:rsidP="00B36227">
            <w:pPr>
              <w:pStyle w:val="Header1"/>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8" w:type="dxa"/>
            <w:shd w:val="clear" w:color="auto" w:fill="D2F5FA" w:themeFill="accent1" w:themeFillTint="33"/>
          </w:tcPr>
          <w:p w14:paraId="670E2670" w14:textId="7A6A4723" w:rsidR="00FA1602" w:rsidRPr="00ED4BB9" w:rsidRDefault="00ED4BB9" w:rsidP="00B36227">
            <w:pPr>
              <w:pStyle w:val="Header1"/>
              <w:spacing w:before="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7A3D63">
              <w:rPr>
                <w:rFonts w:ascii="Arial" w:hAnsi="Arial" w:cs="Arial"/>
                <w:b w:val="0"/>
                <w:bCs/>
                <w:color w:val="auto"/>
              </w:rPr>
              <w:t>$3</w:t>
            </w:r>
            <w:r w:rsidR="007A3D63" w:rsidRPr="004E0F56">
              <w:rPr>
                <w:rFonts w:ascii="Arial" w:hAnsi="Arial" w:cs="Arial"/>
                <w:b w:val="0"/>
                <w:bCs/>
                <w:caps w:val="0"/>
                <w:color w:val="auto"/>
              </w:rPr>
              <w:t>bn</w:t>
            </w:r>
          </w:p>
        </w:tc>
        <w:tc>
          <w:tcPr>
            <w:tcW w:w="360" w:type="dxa"/>
            <w:shd w:val="clear" w:color="auto" w:fill="auto"/>
          </w:tcPr>
          <w:p w14:paraId="24E57D1E" w14:textId="77777777" w:rsidR="00FA1602" w:rsidRDefault="00FA1602" w:rsidP="00B36227">
            <w:pPr>
              <w:pStyle w:val="Header1"/>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shd w:val="clear" w:color="auto" w:fill="D2F5FA" w:themeFill="accent1" w:themeFillTint="33"/>
          </w:tcPr>
          <w:p w14:paraId="234D40CB" w14:textId="0CF7303E" w:rsidR="00FA1602" w:rsidRPr="000477FE" w:rsidRDefault="0036652A" w:rsidP="00B36227">
            <w:pPr>
              <w:pStyle w:val="Header1"/>
              <w:spacing w:before="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36652A">
              <w:rPr>
                <w:rFonts w:ascii="Arial" w:hAnsi="Arial" w:cs="Arial"/>
                <w:b w:val="0"/>
                <w:bCs/>
                <w:color w:val="auto"/>
              </w:rPr>
              <w:t>$5.7</w:t>
            </w:r>
            <w:r w:rsidRPr="004E0F56">
              <w:rPr>
                <w:rFonts w:ascii="Arial" w:hAnsi="Arial" w:cs="Arial"/>
                <w:b w:val="0"/>
                <w:bCs/>
                <w:caps w:val="0"/>
                <w:color w:val="auto"/>
              </w:rPr>
              <w:t>bn</w:t>
            </w:r>
          </w:p>
        </w:tc>
        <w:tc>
          <w:tcPr>
            <w:tcW w:w="360" w:type="dxa"/>
            <w:shd w:val="clear" w:color="auto" w:fill="auto"/>
          </w:tcPr>
          <w:p w14:paraId="65BB6510" w14:textId="77777777" w:rsidR="00FA1602" w:rsidRDefault="00FA1602" w:rsidP="00B36227">
            <w:pPr>
              <w:pStyle w:val="Header1"/>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60" w:type="dxa"/>
            <w:shd w:val="clear" w:color="auto" w:fill="D2F5FA" w:themeFill="accent1" w:themeFillTint="33"/>
          </w:tcPr>
          <w:p w14:paraId="65F416CB" w14:textId="5938C359" w:rsidR="00FA1602" w:rsidRPr="00B40FBE" w:rsidRDefault="00B40FBE" w:rsidP="00B36227">
            <w:pPr>
              <w:pStyle w:val="Header1"/>
              <w:spacing w:before="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val="0"/>
                <w:bCs/>
              </w:rPr>
            </w:pPr>
            <w:r w:rsidRPr="00B40FBE">
              <w:rPr>
                <w:rFonts w:ascii="Arial" w:hAnsi="Arial" w:cs="Arial"/>
                <w:b w:val="0"/>
                <w:bCs/>
                <w:color w:val="auto"/>
              </w:rPr>
              <w:t xml:space="preserve">3¼% </w:t>
            </w:r>
            <w:r w:rsidRPr="004E0F56">
              <w:rPr>
                <w:rFonts w:ascii="Arial" w:hAnsi="Arial" w:cs="Arial"/>
                <w:b w:val="0"/>
                <w:bCs/>
                <w:caps w:val="0"/>
                <w:color w:val="auto"/>
              </w:rPr>
              <w:t>by</w:t>
            </w:r>
            <w:r w:rsidRPr="00B40FBE">
              <w:rPr>
                <w:rFonts w:ascii="Arial" w:hAnsi="Arial" w:cs="Arial"/>
                <w:b w:val="0"/>
                <w:bCs/>
                <w:caps w:val="0"/>
                <w:smallCaps/>
                <w:color w:val="auto"/>
              </w:rPr>
              <w:t xml:space="preserve"> </w:t>
            </w:r>
            <w:r w:rsidRPr="00B40FBE">
              <w:rPr>
                <w:rFonts w:ascii="Arial" w:hAnsi="Arial" w:cs="Arial"/>
                <w:b w:val="0"/>
                <w:bCs/>
                <w:color w:val="auto"/>
              </w:rPr>
              <w:t>2023-24</w:t>
            </w:r>
          </w:p>
        </w:tc>
      </w:tr>
    </w:tbl>
    <w:p w14:paraId="513D7224" w14:textId="77777777" w:rsidR="00763561" w:rsidRDefault="00763561" w:rsidP="00B36227">
      <w:pPr>
        <w:pStyle w:val="Header1"/>
        <w:spacing w:before="0" w:after="120" w:line="240" w:lineRule="auto"/>
        <w:rPr>
          <w:rFonts w:ascii="Arial" w:hAnsi="Arial" w:cs="Arial"/>
        </w:rPr>
      </w:pPr>
    </w:p>
    <w:p w14:paraId="7DDE15C1" w14:textId="20CA52BA" w:rsidR="00202458" w:rsidRPr="007B2E3D" w:rsidRDefault="00202458" w:rsidP="00B36227">
      <w:pPr>
        <w:pStyle w:val="Header1"/>
        <w:spacing w:before="0" w:after="120" w:line="240" w:lineRule="auto"/>
        <w:rPr>
          <w:rFonts w:ascii="Arial" w:hAnsi="Arial" w:cs="Arial"/>
        </w:rPr>
      </w:pPr>
      <w:r w:rsidRPr="007B2E3D">
        <w:rPr>
          <w:rFonts w:ascii="Arial" w:hAnsi="Arial" w:cs="Arial"/>
        </w:rPr>
        <w:t>The state of the economy</w:t>
      </w:r>
      <w:r w:rsidR="00CD24D8" w:rsidRPr="007B2E3D">
        <w:rPr>
          <w:rFonts w:ascii="Arial" w:hAnsi="Arial" w:cs="Arial"/>
        </w:rPr>
        <w:t xml:space="preserve"> </w:t>
      </w:r>
    </w:p>
    <w:p w14:paraId="6584599B" w14:textId="1BBFAC2E" w:rsidR="00EE5256" w:rsidRPr="001E0A74" w:rsidRDefault="00841E2D" w:rsidP="00B36227">
      <w:pPr>
        <w:pStyle w:val="BodyText"/>
        <w:spacing w:line="240" w:lineRule="auto"/>
        <w:rPr>
          <w:color w:val="auto"/>
        </w:rPr>
      </w:pPr>
      <w:r w:rsidRPr="001E0A74">
        <w:rPr>
          <w:color w:val="auto"/>
        </w:rPr>
        <w:t>Perhaps the surprise in this year</w:t>
      </w:r>
      <w:r w:rsidR="000F4DE0" w:rsidRPr="001E0A74">
        <w:rPr>
          <w:color w:val="auto"/>
        </w:rPr>
        <w:t>’</w:t>
      </w:r>
      <w:r w:rsidRPr="001E0A74">
        <w:rPr>
          <w:color w:val="auto"/>
        </w:rPr>
        <w:t>s Budget was the announcement of a surplus for the 2022-23 financial year of $4.2</w:t>
      </w:r>
      <w:r w:rsidR="00CF643B">
        <w:rPr>
          <w:color w:val="auto"/>
        </w:rPr>
        <w:t xml:space="preserve"> billion</w:t>
      </w:r>
      <w:r w:rsidRPr="001E0A74">
        <w:rPr>
          <w:color w:val="auto"/>
        </w:rPr>
        <w:t xml:space="preserve">. </w:t>
      </w:r>
      <w:r w:rsidR="008978A5" w:rsidRPr="001E0A74">
        <w:rPr>
          <w:color w:val="auto"/>
        </w:rPr>
        <w:t>This is the first surplus since 2</w:t>
      </w:r>
      <w:r w:rsidR="0064274F" w:rsidRPr="001E0A74">
        <w:rPr>
          <w:color w:val="auto"/>
        </w:rPr>
        <w:t xml:space="preserve">007-08 and </w:t>
      </w:r>
      <w:r w:rsidR="009802DB" w:rsidRPr="001E0A74">
        <w:rPr>
          <w:color w:val="auto"/>
        </w:rPr>
        <w:t>represents significant turnaround from the projected $36.9</w:t>
      </w:r>
      <w:r w:rsidR="00CF643B">
        <w:rPr>
          <w:color w:val="auto"/>
        </w:rPr>
        <w:t xml:space="preserve"> </w:t>
      </w:r>
      <w:r w:rsidR="009802DB" w:rsidRPr="001E0A74">
        <w:rPr>
          <w:color w:val="auto"/>
        </w:rPr>
        <w:t>b</w:t>
      </w:r>
      <w:r w:rsidR="00CF643B">
        <w:rPr>
          <w:color w:val="auto"/>
        </w:rPr>
        <w:t>illion</w:t>
      </w:r>
      <w:r w:rsidR="009802DB" w:rsidRPr="001E0A74">
        <w:rPr>
          <w:color w:val="auto"/>
        </w:rPr>
        <w:t xml:space="preserve"> deficit </w:t>
      </w:r>
      <w:r w:rsidR="000F4DE0" w:rsidRPr="001E0A74">
        <w:rPr>
          <w:color w:val="auto"/>
        </w:rPr>
        <w:t>forecast in the October 2022 Budget</w:t>
      </w:r>
      <w:r w:rsidR="0005143B" w:rsidRPr="001E0A74">
        <w:rPr>
          <w:color w:val="auto"/>
        </w:rPr>
        <w:t>.</w:t>
      </w:r>
    </w:p>
    <w:p w14:paraId="3FC74D8A" w14:textId="72CEAA69" w:rsidR="007579EC" w:rsidRPr="001E0A74" w:rsidRDefault="00496B7A" w:rsidP="00B36227">
      <w:pPr>
        <w:pStyle w:val="BodyText"/>
        <w:spacing w:line="240" w:lineRule="auto"/>
        <w:rPr>
          <w:color w:val="auto"/>
        </w:rPr>
      </w:pPr>
      <w:r w:rsidRPr="001E0A74">
        <w:rPr>
          <w:color w:val="auto"/>
        </w:rPr>
        <w:t xml:space="preserve">Real GDP </w:t>
      </w:r>
      <w:r w:rsidR="00F66786" w:rsidRPr="001E0A74">
        <w:rPr>
          <w:color w:val="auto"/>
        </w:rPr>
        <w:t>g</w:t>
      </w:r>
      <w:r w:rsidRPr="001E0A74">
        <w:rPr>
          <w:color w:val="auto"/>
        </w:rPr>
        <w:t xml:space="preserve">rowth is </w:t>
      </w:r>
      <w:r w:rsidR="00F66786" w:rsidRPr="001E0A74">
        <w:rPr>
          <w:color w:val="auto"/>
        </w:rPr>
        <w:t xml:space="preserve">expected to be </w:t>
      </w:r>
      <w:r w:rsidR="00186370" w:rsidRPr="001E0A74">
        <w:rPr>
          <w:color w:val="auto"/>
        </w:rPr>
        <w:t>1½%</w:t>
      </w:r>
      <w:r w:rsidRPr="001E0A74">
        <w:rPr>
          <w:color w:val="auto"/>
        </w:rPr>
        <w:t xml:space="preserve"> </w:t>
      </w:r>
      <w:r w:rsidR="00186370" w:rsidRPr="001E0A74">
        <w:rPr>
          <w:color w:val="auto"/>
        </w:rPr>
        <w:t xml:space="preserve">for 2023-24 before rising to </w:t>
      </w:r>
      <w:r w:rsidR="007579EC" w:rsidRPr="001E0A74">
        <w:rPr>
          <w:color w:val="auto"/>
        </w:rPr>
        <w:t>2¼% in 2024-25.</w:t>
      </w:r>
    </w:p>
    <w:p w14:paraId="03445A67" w14:textId="320137F2" w:rsidR="00000296" w:rsidRPr="001E0A74" w:rsidRDefault="005945C5" w:rsidP="00B36227">
      <w:pPr>
        <w:pStyle w:val="BodyText"/>
        <w:spacing w:line="240" w:lineRule="auto"/>
        <w:rPr>
          <w:color w:val="auto"/>
        </w:rPr>
      </w:pPr>
      <w:r w:rsidRPr="001E0A74">
        <w:rPr>
          <w:color w:val="auto"/>
        </w:rPr>
        <w:t xml:space="preserve">The unemployment rate in recent years has placed Australia in an enviable position. </w:t>
      </w:r>
      <w:r w:rsidR="006A5B7C" w:rsidRPr="001E0A74">
        <w:rPr>
          <w:color w:val="auto"/>
        </w:rPr>
        <w:t xml:space="preserve">The currently </w:t>
      </w:r>
      <w:r w:rsidR="00AC7F11" w:rsidRPr="001E0A74">
        <w:rPr>
          <w:color w:val="auto"/>
        </w:rPr>
        <w:t>historically</w:t>
      </w:r>
      <w:r w:rsidR="006A5B7C" w:rsidRPr="001E0A74">
        <w:rPr>
          <w:color w:val="auto"/>
        </w:rPr>
        <w:t xml:space="preserve"> low </w:t>
      </w:r>
      <w:r w:rsidR="00AC7F11" w:rsidRPr="001E0A74">
        <w:rPr>
          <w:color w:val="auto"/>
        </w:rPr>
        <w:t xml:space="preserve">unemployment </w:t>
      </w:r>
      <w:r w:rsidR="006A5B7C" w:rsidRPr="001E0A74">
        <w:rPr>
          <w:color w:val="auto"/>
        </w:rPr>
        <w:t xml:space="preserve">rate is expected to increase marginally in </w:t>
      </w:r>
      <w:r w:rsidR="00AC7F11" w:rsidRPr="001E0A74">
        <w:rPr>
          <w:color w:val="auto"/>
        </w:rPr>
        <w:t>2023-24 and 2024-25.</w:t>
      </w:r>
    </w:p>
    <w:p w14:paraId="244060D4" w14:textId="7B09CE23" w:rsidR="00CC17F5" w:rsidRPr="001E0A74" w:rsidRDefault="00000296" w:rsidP="00B36227">
      <w:pPr>
        <w:pStyle w:val="BodyText"/>
        <w:spacing w:line="240" w:lineRule="auto"/>
        <w:rPr>
          <w:color w:val="auto"/>
        </w:rPr>
      </w:pPr>
      <w:r w:rsidRPr="001E0A74">
        <w:rPr>
          <w:color w:val="auto"/>
        </w:rPr>
        <w:t xml:space="preserve">Much of the focus of the past year or so has been the rapid rise in the inflation rate. </w:t>
      </w:r>
      <w:r w:rsidR="00160113" w:rsidRPr="001E0A74">
        <w:rPr>
          <w:color w:val="auto"/>
        </w:rPr>
        <w:t xml:space="preserve">The </w:t>
      </w:r>
      <w:r w:rsidR="00C03EF1">
        <w:rPr>
          <w:color w:val="auto"/>
        </w:rPr>
        <w:t>G</w:t>
      </w:r>
      <w:r w:rsidR="00160113" w:rsidRPr="001E0A74">
        <w:rPr>
          <w:color w:val="auto"/>
        </w:rPr>
        <w:t xml:space="preserve">overnment predicts the inflation rate has now peaked and is starting to </w:t>
      </w:r>
      <w:r w:rsidR="00C02E1D" w:rsidRPr="001E0A74">
        <w:rPr>
          <w:color w:val="auto"/>
        </w:rPr>
        <w:t xml:space="preserve">moderate. The inflation rate for 2023-24 is forecast to be </w:t>
      </w:r>
      <w:r w:rsidR="00E208C5" w:rsidRPr="001E0A74">
        <w:rPr>
          <w:color w:val="auto"/>
        </w:rPr>
        <w:t>3¼%</w:t>
      </w:r>
      <w:r w:rsidR="00AC7F11" w:rsidRPr="001E0A74">
        <w:rPr>
          <w:color w:val="auto"/>
        </w:rPr>
        <w:t xml:space="preserve"> </w:t>
      </w:r>
      <w:r w:rsidR="00E208C5" w:rsidRPr="001E0A74">
        <w:rPr>
          <w:color w:val="auto"/>
        </w:rPr>
        <w:t>and will return to the Reserve Bank</w:t>
      </w:r>
      <w:r w:rsidR="000A3C87" w:rsidRPr="001E0A74">
        <w:rPr>
          <w:color w:val="auto"/>
        </w:rPr>
        <w:t>’s</w:t>
      </w:r>
      <w:r w:rsidR="00E208C5" w:rsidRPr="001E0A74">
        <w:rPr>
          <w:color w:val="auto"/>
        </w:rPr>
        <w:t xml:space="preserve"> target band</w:t>
      </w:r>
      <w:r w:rsidR="000A3C87" w:rsidRPr="001E0A74">
        <w:rPr>
          <w:color w:val="auto"/>
        </w:rPr>
        <w:t xml:space="preserve"> of 2</w:t>
      </w:r>
      <w:r w:rsidR="00031ED6" w:rsidRPr="001E0A74">
        <w:rPr>
          <w:color w:val="auto"/>
        </w:rPr>
        <w:t>-</w:t>
      </w:r>
      <w:r w:rsidR="000A3C87" w:rsidRPr="001E0A74">
        <w:rPr>
          <w:color w:val="auto"/>
        </w:rPr>
        <w:t>3% by 2024-25.</w:t>
      </w:r>
      <w:r w:rsidR="00E208C5" w:rsidRPr="001E0A74">
        <w:rPr>
          <w:color w:val="auto"/>
        </w:rPr>
        <w:t xml:space="preserve"> </w:t>
      </w:r>
      <w:r w:rsidR="00496B7A" w:rsidRPr="001E0A74">
        <w:rPr>
          <w:color w:val="auto"/>
        </w:rPr>
        <w:t xml:space="preserve"> </w:t>
      </w:r>
    </w:p>
    <w:p w14:paraId="68B1E654" w14:textId="5096A2A4" w:rsidR="00CC17F5" w:rsidRPr="001E0A74" w:rsidRDefault="00AA614C" w:rsidP="00B36227">
      <w:pPr>
        <w:spacing w:line="240" w:lineRule="auto"/>
      </w:pPr>
      <w:r w:rsidRPr="001E0A74">
        <w:t>The big-ticket items in this year’s Budget include:</w:t>
      </w:r>
    </w:p>
    <w:p w14:paraId="3DEA3C41" w14:textId="4797F5ED" w:rsidR="00DF23D5" w:rsidRPr="001E0A74" w:rsidRDefault="00DF23D5" w:rsidP="00B36227">
      <w:pPr>
        <w:pStyle w:val="ListParagraph"/>
        <w:numPr>
          <w:ilvl w:val="0"/>
          <w:numId w:val="28"/>
        </w:numPr>
        <w:spacing w:line="240" w:lineRule="auto"/>
      </w:pPr>
      <w:r w:rsidRPr="001E0A74">
        <w:t>Cost-of-living relief</w:t>
      </w:r>
      <w:r w:rsidR="00827F3F" w:rsidRPr="001E0A74">
        <w:t>,</w:t>
      </w:r>
    </w:p>
    <w:p w14:paraId="599F193C" w14:textId="5E749AB7" w:rsidR="00827F3F" w:rsidRPr="001E0A74" w:rsidRDefault="0049439E" w:rsidP="00B36227">
      <w:pPr>
        <w:pStyle w:val="ListParagraph"/>
        <w:numPr>
          <w:ilvl w:val="0"/>
          <w:numId w:val="28"/>
        </w:numPr>
        <w:spacing w:line="240" w:lineRule="auto"/>
      </w:pPr>
      <w:r w:rsidRPr="001E0A74">
        <w:t xml:space="preserve">Increased </w:t>
      </w:r>
      <w:r w:rsidR="00F853A8" w:rsidRPr="001E0A74">
        <w:t>P</w:t>
      </w:r>
      <w:r w:rsidRPr="001E0A74">
        <w:t xml:space="preserve">arenting Payment (Single), </w:t>
      </w:r>
      <w:proofErr w:type="spellStart"/>
      <w:r w:rsidR="00ED4BB9" w:rsidRPr="001E0A74">
        <w:t>JobSeeker</w:t>
      </w:r>
      <w:proofErr w:type="spellEnd"/>
      <w:r w:rsidR="004E0F56">
        <w:t>,</w:t>
      </w:r>
      <w:r w:rsidR="00ED4BB9" w:rsidRPr="001E0A74">
        <w:t xml:space="preserve"> and Youth Allowance,</w:t>
      </w:r>
    </w:p>
    <w:p w14:paraId="163AFEB6" w14:textId="3EF85FBD" w:rsidR="00ED4BB9" w:rsidRPr="001E0A74" w:rsidRDefault="00883B90" w:rsidP="00B36227">
      <w:pPr>
        <w:pStyle w:val="ListParagraph"/>
        <w:numPr>
          <w:ilvl w:val="0"/>
          <w:numId w:val="28"/>
        </w:numPr>
        <w:spacing w:line="240" w:lineRule="auto"/>
      </w:pPr>
      <w:r w:rsidRPr="001E0A74">
        <w:t>Further investment in renewable energy</w:t>
      </w:r>
    </w:p>
    <w:p w14:paraId="1FB5CA9E" w14:textId="4EFB1640" w:rsidR="00AA614C" w:rsidRDefault="00676C12" w:rsidP="00B36227">
      <w:pPr>
        <w:spacing w:line="240" w:lineRule="auto"/>
      </w:pPr>
      <w:r>
        <w:t>Now for a more detailed look at some of the key announcements.</w:t>
      </w:r>
    </w:p>
    <w:p w14:paraId="28EBCEFD" w14:textId="77777777" w:rsidR="00533C7E" w:rsidRPr="007B2E3D" w:rsidRDefault="00533C7E" w:rsidP="00B36227">
      <w:pPr>
        <w:spacing w:line="240" w:lineRule="auto"/>
      </w:pPr>
    </w:p>
    <w:p w14:paraId="1F5EDBF5" w14:textId="77777777" w:rsidR="008A4760" w:rsidRPr="007B2E3D" w:rsidRDefault="008A4760" w:rsidP="00B36227">
      <w:pPr>
        <w:spacing w:line="240" w:lineRule="auto"/>
        <w:rPr>
          <w:rFonts w:ascii="Arial" w:hAnsi="Arial" w:cs="Arial"/>
          <w:b/>
          <w:bCs/>
          <w:color w:val="1ED2E6" w:themeColor="accent1"/>
          <w:sz w:val="24"/>
          <w:szCs w:val="24"/>
        </w:rPr>
      </w:pPr>
      <w:r w:rsidRPr="007B2E3D">
        <w:rPr>
          <w:rFonts w:ascii="Arial" w:hAnsi="Arial" w:cs="Arial"/>
          <w:b/>
          <w:bCs/>
          <w:color w:val="1ED2E6" w:themeColor="accent1"/>
          <w:sz w:val="24"/>
          <w:szCs w:val="24"/>
        </w:rPr>
        <w:t>SUPERANNUATION</w:t>
      </w:r>
    </w:p>
    <w:p w14:paraId="15291581" w14:textId="44056FEB" w:rsidR="00B36227" w:rsidRDefault="008A4760" w:rsidP="00B36227">
      <w:pPr>
        <w:pStyle w:val="BodyText"/>
        <w:spacing w:line="240" w:lineRule="auto"/>
        <w:rPr>
          <w:color w:val="auto"/>
        </w:rPr>
      </w:pPr>
      <w:bookmarkStart w:id="2" w:name="_Hlk134434313"/>
      <w:r w:rsidRPr="001E0A74">
        <w:rPr>
          <w:color w:val="auto"/>
        </w:rPr>
        <w:t xml:space="preserve">The Budget </w:t>
      </w:r>
      <w:r w:rsidR="00676C12" w:rsidRPr="001E0A74">
        <w:rPr>
          <w:color w:val="auto"/>
        </w:rPr>
        <w:t xml:space="preserve">was </w:t>
      </w:r>
      <w:r w:rsidRPr="001E0A74">
        <w:rPr>
          <w:color w:val="auto"/>
        </w:rPr>
        <w:t>decidedly quiet on the superannuation front this year. The only measures of any significance were:</w:t>
      </w:r>
    </w:p>
    <w:p w14:paraId="1FA36EB4" w14:textId="77777777" w:rsidR="00B36227" w:rsidRDefault="00B36227">
      <w:pPr>
        <w:spacing w:before="0" w:after="160" w:line="259" w:lineRule="auto"/>
      </w:pPr>
      <w:r>
        <w:br w:type="page"/>
      </w:r>
    </w:p>
    <w:p w14:paraId="642AC4FC" w14:textId="77777777" w:rsidR="008A4760" w:rsidRPr="001E0A74" w:rsidRDefault="008A4760" w:rsidP="00B36227">
      <w:pPr>
        <w:pStyle w:val="BodyText"/>
        <w:spacing w:line="240" w:lineRule="auto"/>
        <w:rPr>
          <w:b/>
          <w:bCs/>
          <w:color w:val="auto"/>
        </w:rPr>
      </w:pPr>
      <w:r w:rsidRPr="001E0A74">
        <w:rPr>
          <w:b/>
          <w:bCs/>
          <w:color w:val="auto"/>
        </w:rPr>
        <w:lastRenderedPageBreak/>
        <w:t>Better targeted super concessions</w:t>
      </w:r>
    </w:p>
    <w:p w14:paraId="57D3F08E" w14:textId="6165A136" w:rsidR="008A4760" w:rsidRPr="001E0A74" w:rsidRDefault="008A4760" w:rsidP="00B36227">
      <w:pPr>
        <w:pStyle w:val="BodyText"/>
        <w:spacing w:line="240" w:lineRule="auto"/>
        <w:rPr>
          <w:color w:val="auto"/>
        </w:rPr>
      </w:pPr>
      <w:r w:rsidRPr="001E0A74">
        <w:rPr>
          <w:color w:val="auto"/>
        </w:rPr>
        <w:t xml:space="preserve">This simply repeats the </w:t>
      </w:r>
      <w:r w:rsidR="001D3703" w:rsidRPr="001E0A74">
        <w:rPr>
          <w:color w:val="auto"/>
        </w:rPr>
        <w:t>release</w:t>
      </w:r>
      <w:r w:rsidRPr="001E0A74">
        <w:rPr>
          <w:color w:val="auto"/>
        </w:rPr>
        <w:t xml:space="preserve"> made on 28 February 2023 when the </w:t>
      </w:r>
      <w:r w:rsidR="00C03EF1">
        <w:rPr>
          <w:color w:val="auto"/>
        </w:rPr>
        <w:t>G</w:t>
      </w:r>
      <w:r w:rsidRPr="001E0A74">
        <w:rPr>
          <w:color w:val="auto"/>
        </w:rPr>
        <w:t>overnment</w:t>
      </w:r>
      <w:r w:rsidR="001D3703" w:rsidRPr="001E0A74">
        <w:rPr>
          <w:color w:val="auto"/>
        </w:rPr>
        <w:t xml:space="preserve"> announced plans </w:t>
      </w:r>
      <w:r w:rsidRPr="001E0A74">
        <w:rPr>
          <w:color w:val="auto"/>
        </w:rPr>
        <w:t xml:space="preserve">to </w:t>
      </w:r>
      <w:r w:rsidR="00AF06E4" w:rsidRPr="001E0A74">
        <w:rPr>
          <w:color w:val="auto"/>
        </w:rPr>
        <w:t xml:space="preserve">proportionately </w:t>
      </w:r>
      <w:r w:rsidRPr="001E0A74">
        <w:rPr>
          <w:color w:val="auto"/>
        </w:rPr>
        <w:t>increase the tax on a person’s total superannuation balance that exceeds $3</w:t>
      </w:r>
      <w:r w:rsidR="002F7B20">
        <w:rPr>
          <w:color w:val="auto"/>
        </w:rPr>
        <w:t xml:space="preserve"> </w:t>
      </w:r>
      <w:r w:rsidRPr="001E0A74">
        <w:rPr>
          <w:color w:val="auto"/>
        </w:rPr>
        <w:t>m</w:t>
      </w:r>
      <w:r w:rsidR="002F7B20">
        <w:rPr>
          <w:color w:val="auto"/>
        </w:rPr>
        <w:t>ill</w:t>
      </w:r>
      <w:r w:rsidR="00CF643B">
        <w:rPr>
          <w:color w:val="auto"/>
        </w:rPr>
        <w:t>ion</w:t>
      </w:r>
      <w:r w:rsidRPr="001E0A74">
        <w:rPr>
          <w:color w:val="auto"/>
        </w:rPr>
        <w:t xml:space="preserve"> by an additional 15%. The Budget announcement does not depart from the initial proposal despite the measure having been open for public consultation between 31 March and 17 April 2023. </w:t>
      </w:r>
    </w:p>
    <w:p w14:paraId="78C05ED5" w14:textId="3AC53346" w:rsidR="008A4760" w:rsidRDefault="008A4760" w:rsidP="00B36227">
      <w:pPr>
        <w:pStyle w:val="BodyText"/>
        <w:spacing w:line="240" w:lineRule="auto"/>
        <w:rPr>
          <w:color w:val="auto"/>
        </w:rPr>
      </w:pPr>
      <w:r w:rsidRPr="001E0A74">
        <w:rPr>
          <w:color w:val="auto"/>
        </w:rPr>
        <w:t xml:space="preserve">This measure </w:t>
      </w:r>
      <w:r w:rsidR="000F771A" w:rsidRPr="001E0A74">
        <w:rPr>
          <w:color w:val="auto"/>
        </w:rPr>
        <w:t>will not</w:t>
      </w:r>
      <w:r w:rsidRPr="001E0A74">
        <w:rPr>
          <w:color w:val="auto"/>
        </w:rPr>
        <w:t xml:space="preserve"> apply until 1 July 2025 and is only expected to affect 80,000 individuals, at least in the early stages. </w:t>
      </w:r>
      <w:r w:rsidR="005D6B4B" w:rsidRPr="001E0A74">
        <w:rPr>
          <w:color w:val="auto"/>
        </w:rPr>
        <w:t>However, this is expected to increase as t</w:t>
      </w:r>
      <w:r w:rsidRPr="001E0A74">
        <w:rPr>
          <w:color w:val="auto"/>
        </w:rPr>
        <w:t>he $3</w:t>
      </w:r>
      <w:r w:rsidR="002F7B20">
        <w:rPr>
          <w:color w:val="auto"/>
        </w:rPr>
        <w:t xml:space="preserve"> </w:t>
      </w:r>
      <w:r w:rsidRPr="001E0A74">
        <w:rPr>
          <w:color w:val="auto"/>
        </w:rPr>
        <w:t>m</w:t>
      </w:r>
      <w:r w:rsidR="002F7B20">
        <w:rPr>
          <w:color w:val="auto"/>
        </w:rPr>
        <w:t>illion</w:t>
      </w:r>
      <w:r w:rsidRPr="001E0A74">
        <w:rPr>
          <w:color w:val="auto"/>
        </w:rPr>
        <w:t xml:space="preserve"> threshold is not indexed.</w:t>
      </w:r>
    </w:p>
    <w:p w14:paraId="2413D11C" w14:textId="41D8A571" w:rsidR="00E479BE" w:rsidRPr="001E0A74" w:rsidRDefault="00CF1702" w:rsidP="00B36227">
      <w:pPr>
        <w:pStyle w:val="BodyText"/>
        <w:spacing w:line="240" w:lineRule="auto"/>
        <w:rPr>
          <w:color w:val="auto"/>
        </w:rPr>
      </w:pPr>
      <w:r>
        <w:rPr>
          <w:color w:val="auto"/>
        </w:rPr>
        <w:t xml:space="preserve">This measure will </w:t>
      </w:r>
      <w:r w:rsidR="00537C55">
        <w:rPr>
          <w:color w:val="auto"/>
        </w:rPr>
        <w:t xml:space="preserve">also </w:t>
      </w:r>
      <w:r>
        <w:rPr>
          <w:color w:val="auto"/>
        </w:rPr>
        <w:t xml:space="preserve">extend to members of defined benefit </w:t>
      </w:r>
      <w:r w:rsidR="00537C55">
        <w:rPr>
          <w:color w:val="auto"/>
        </w:rPr>
        <w:t>superannuation schemes.</w:t>
      </w:r>
    </w:p>
    <w:p w14:paraId="07031D20" w14:textId="77777777" w:rsidR="008A4760" w:rsidRPr="001E0A74" w:rsidRDefault="008A4760" w:rsidP="00B36227">
      <w:pPr>
        <w:pStyle w:val="BodyText"/>
        <w:spacing w:line="240" w:lineRule="auto"/>
        <w:rPr>
          <w:color w:val="auto"/>
        </w:rPr>
      </w:pPr>
      <w:r w:rsidRPr="001E0A74">
        <w:rPr>
          <w:color w:val="auto"/>
        </w:rPr>
        <w:t>Importantly, most superannuation members have significantly less than $3m in superannuation and will not be affected by this proposal.</w:t>
      </w:r>
    </w:p>
    <w:p w14:paraId="1D80FEF6" w14:textId="77777777" w:rsidR="008A4760" w:rsidRPr="001E0A74" w:rsidRDefault="008A4760" w:rsidP="00B36227">
      <w:pPr>
        <w:pStyle w:val="BodyText"/>
        <w:spacing w:line="240" w:lineRule="auto"/>
        <w:rPr>
          <w:b/>
          <w:bCs/>
          <w:color w:val="auto"/>
        </w:rPr>
      </w:pPr>
      <w:r w:rsidRPr="001E0A74">
        <w:rPr>
          <w:b/>
          <w:bCs/>
          <w:color w:val="auto"/>
        </w:rPr>
        <w:t>Securing Australians Superannuation Package.</w:t>
      </w:r>
    </w:p>
    <w:p w14:paraId="78C1EEE4" w14:textId="3AD11062" w:rsidR="008A4760" w:rsidRPr="001E0A74" w:rsidRDefault="008A4760" w:rsidP="00B36227">
      <w:pPr>
        <w:pStyle w:val="BodyText"/>
        <w:spacing w:line="240" w:lineRule="auto"/>
        <w:rPr>
          <w:color w:val="auto"/>
        </w:rPr>
      </w:pPr>
      <w:r w:rsidRPr="001E0A74">
        <w:rPr>
          <w:color w:val="auto"/>
        </w:rPr>
        <w:t>Employers are currently required to pay superannuation guarantee contributions for their employees by the 28</w:t>
      </w:r>
      <w:r w:rsidRPr="001E0A74">
        <w:rPr>
          <w:color w:val="auto"/>
          <w:vertAlign w:val="superscript"/>
        </w:rPr>
        <w:t>th</w:t>
      </w:r>
      <w:r w:rsidRPr="001E0A74">
        <w:rPr>
          <w:color w:val="auto"/>
        </w:rPr>
        <w:t xml:space="preserve"> day of the month following the end of each quarter. The Budget proposes that from 1 July 2026, employers will be required to pay their employees superannuation guarantee contributions on the same day </w:t>
      </w:r>
      <w:r w:rsidR="0078061A" w:rsidRPr="001E0A74">
        <w:rPr>
          <w:color w:val="auto"/>
        </w:rPr>
        <w:t>they pay their</w:t>
      </w:r>
      <w:r w:rsidRPr="001E0A74">
        <w:rPr>
          <w:color w:val="auto"/>
        </w:rPr>
        <w:t xml:space="preserve"> employee</w:t>
      </w:r>
      <w:r w:rsidR="0078061A" w:rsidRPr="001E0A74">
        <w:rPr>
          <w:color w:val="auto"/>
        </w:rPr>
        <w:t>s</w:t>
      </w:r>
      <w:r w:rsidRPr="001E0A74">
        <w:rPr>
          <w:color w:val="auto"/>
        </w:rPr>
        <w:t>. This initiative will help to counter the underpayment or non-payment of superannuation guarantee contributions</w:t>
      </w:r>
      <w:r w:rsidR="00D751CF" w:rsidRPr="001E0A74">
        <w:rPr>
          <w:color w:val="auto"/>
        </w:rPr>
        <w:t>,</w:t>
      </w:r>
      <w:r w:rsidRPr="001E0A74">
        <w:rPr>
          <w:color w:val="auto"/>
        </w:rPr>
        <w:t xml:space="preserve"> which remains a significant problem.  </w:t>
      </w:r>
    </w:p>
    <w:p w14:paraId="42F6A4A1" w14:textId="77777777" w:rsidR="008A4760" w:rsidRPr="001E0A74" w:rsidRDefault="008A4760" w:rsidP="00B36227">
      <w:pPr>
        <w:pStyle w:val="BodyText"/>
        <w:spacing w:line="240" w:lineRule="auto"/>
        <w:rPr>
          <w:color w:val="auto"/>
        </w:rPr>
      </w:pPr>
      <w:r w:rsidRPr="001E0A74">
        <w:rPr>
          <w:b/>
          <w:bCs/>
          <w:color w:val="auto"/>
        </w:rPr>
        <w:t>Self manged super funds – amendments to non-arm’s length (NALI) income provisions</w:t>
      </w:r>
    </w:p>
    <w:bookmarkEnd w:id="2"/>
    <w:p w14:paraId="61D231E5" w14:textId="632E9FDB" w:rsidR="00F301AF" w:rsidRPr="001E0A74" w:rsidRDefault="008A4760" w:rsidP="00B36227">
      <w:pPr>
        <w:pStyle w:val="BodyText"/>
        <w:spacing w:line="240" w:lineRule="auto"/>
        <w:rPr>
          <w:color w:val="auto"/>
        </w:rPr>
      </w:pPr>
      <w:r w:rsidRPr="001E0A74">
        <w:rPr>
          <w:color w:val="auto"/>
        </w:rPr>
        <w:t xml:space="preserve">The provisions announced by the previous </w:t>
      </w:r>
      <w:r w:rsidR="00C03EF1">
        <w:rPr>
          <w:color w:val="auto"/>
        </w:rPr>
        <w:t>G</w:t>
      </w:r>
      <w:r w:rsidRPr="001E0A74">
        <w:rPr>
          <w:color w:val="auto"/>
        </w:rPr>
        <w:t xml:space="preserve">overnment covering the NALI provisions as they apply to expenditure incurred by superannuation funds will be amended to provide more certainty. </w:t>
      </w:r>
    </w:p>
    <w:p w14:paraId="0B167B73" w14:textId="49872CE5" w:rsidR="008A4760" w:rsidRPr="001E0A74" w:rsidRDefault="008A4760" w:rsidP="00B36227">
      <w:pPr>
        <w:pStyle w:val="BodyText"/>
        <w:spacing w:line="240" w:lineRule="auto"/>
        <w:rPr>
          <w:color w:val="auto"/>
        </w:rPr>
      </w:pPr>
      <w:r w:rsidRPr="001E0A74">
        <w:rPr>
          <w:color w:val="auto"/>
        </w:rPr>
        <w:t xml:space="preserve">In particular, the income subject NALI provisions will be limited to twice the level of a general expense. In addition, fund income subject to NALI will exclude contributions.  </w:t>
      </w:r>
    </w:p>
    <w:p w14:paraId="788A9EC6" w14:textId="6BCDB3E0" w:rsidR="008A4760" w:rsidRPr="001E0A74" w:rsidRDefault="008A4760" w:rsidP="00B36227">
      <w:pPr>
        <w:pStyle w:val="BodyText"/>
        <w:spacing w:line="240" w:lineRule="auto"/>
        <w:rPr>
          <w:color w:val="auto"/>
        </w:rPr>
      </w:pPr>
      <w:r w:rsidRPr="001E0A74">
        <w:rPr>
          <w:color w:val="auto"/>
        </w:rPr>
        <w:t>Perhaps what was more notable from the Budget was what wasn’t mentioned.</w:t>
      </w:r>
    </w:p>
    <w:p w14:paraId="78FA1460" w14:textId="77777777" w:rsidR="008A4760" w:rsidRPr="001E0A74" w:rsidRDefault="008A4760" w:rsidP="00B36227">
      <w:pPr>
        <w:pStyle w:val="BodyText"/>
        <w:spacing w:line="240" w:lineRule="auto"/>
        <w:rPr>
          <w:b/>
          <w:bCs/>
          <w:color w:val="auto"/>
        </w:rPr>
      </w:pPr>
      <w:r w:rsidRPr="001E0A74">
        <w:rPr>
          <w:b/>
          <w:bCs/>
          <w:color w:val="auto"/>
        </w:rPr>
        <w:t>Pension drawdowns</w:t>
      </w:r>
    </w:p>
    <w:p w14:paraId="2CECB038" w14:textId="77777777" w:rsidR="008A4760" w:rsidRPr="001E0A74" w:rsidRDefault="008A4760" w:rsidP="00B36227">
      <w:pPr>
        <w:pStyle w:val="BodyText"/>
        <w:spacing w:line="240" w:lineRule="auto"/>
        <w:rPr>
          <w:color w:val="auto"/>
        </w:rPr>
      </w:pPr>
      <w:r w:rsidRPr="001E0A74">
        <w:rPr>
          <w:color w:val="auto"/>
        </w:rPr>
        <w:t>For the past couple of financial years, the minimum prescribed income to be drawn from a pension account has been discounted by 50%. Discounting was due to end on 30 June 2023.</w:t>
      </w:r>
    </w:p>
    <w:p w14:paraId="0F312C3D" w14:textId="77777777" w:rsidR="008A4760" w:rsidRPr="001E0A74" w:rsidRDefault="008A4760" w:rsidP="00B36227">
      <w:pPr>
        <w:pStyle w:val="BodyText"/>
        <w:spacing w:line="240" w:lineRule="auto"/>
        <w:rPr>
          <w:color w:val="auto"/>
        </w:rPr>
      </w:pPr>
      <w:r w:rsidRPr="001E0A74">
        <w:rPr>
          <w:color w:val="auto"/>
        </w:rPr>
        <w:t>The Budget did not include any reference to the current 50% discount being extended beyond 30 June 2023.</w:t>
      </w:r>
    </w:p>
    <w:p w14:paraId="6C7AD61B" w14:textId="77777777" w:rsidR="008A4760" w:rsidRPr="008F3C93" w:rsidRDefault="008A4760" w:rsidP="00B36227">
      <w:pPr>
        <w:pStyle w:val="BodyText"/>
        <w:spacing w:line="240" w:lineRule="auto"/>
        <w:rPr>
          <w:b/>
          <w:bCs/>
          <w:color w:val="0070C0"/>
        </w:rPr>
      </w:pPr>
      <w:r w:rsidRPr="001E0A74">
        <w:rPr>
          <w:b/>
          <w:bCs/>
          <w:color w:val="auto"/>
        </w:rPr>
        <w:t>Legacy pension amnesty</w:t>
      </w:r>
    </w:p>
    <w:p w14:paraId="3F74C19F" w14:textId="189FC4F4" w:rsidR="008A4760" w:rsidRPr="001E0A74" w:rsidRDefault="009B0E76" w:rsidP="00B36227">
      <w:pPr>
        <w:pStyle w:val="BodyText"/>
        <w:spacing w:line="240" w:lineRule="auto"/>
        <w:rPr>
          <w:color w:val="auto"/>
        </w:rPr>
      </w:pPr>
      <w:r>
        <w:rPr>
          <w:color w:val="auto"/>
        </w:rPr>
        <w:t>In its 2021 Budget, t</w:t>
      </w:r>
      <w:r w:rsidR="008A4760" w:rsidRPr="001E0A74">
        <w:rPr>
          <w:color w:val="auto"/>
        </w:rPr>
        <w:t xml:space="preserve">he previous </w:t>
      </w:r>
      <w:r w:rsidR="00C03EF1">
        <w:rPr>
          <w:color w:val="auto"/>
        </w:rPr>
        <w:t>G</w:t>
      </w:r>
      <w:r w:rsidR="008A4760" w:rsidRPr="001E0A74">
        <w:rPr>
          <w:color w:val="auto"/>
        </w:rPr>
        <w:t>overnment announced their intention to allow a two-year window (from 1 July 2022) to allow people with old-style defined benefit income stream products (</w:t>
      </w:r>
      <w:proofErr w:type="gramStart"/>
      <w:r w:rsidR="008A4760" w:rsidRPr="001E0A74">
        <w:rPr>
          <w:color w:val="auto"/>
        </w:rPr>
        <w:t>e.g.</w:t>
      </w:r>
      <w:proofErr w:type="gramEnd"/>
      <w:r w:rsidR="008A4760" w:rsidRPr="001E0A74">
        <w:rPr>
          <w:color w:val="auto"/>
        </w:rPr>
        <w:t xml:space="preserve"> lifetime, life expectancy, and market linked pensions) to exit those products without incurring tax or social security penalties. Unfortunately, legislation to implement this opportunity was not passed before the last Federal Election was called. </w:t>
      </w:r>
    </w:p>
    <w:p w14:paraId="7D34B551" w14:textId="2838BD22" w:rsidR="008A4760" w:rsidRDefault="008A4760" w:rsidP="00B36227">
      <w:pPr>
        <w:pStyle w:val="BodyText"/>
        <w:spacing w:line="240" w:lineRule="auto"/>
        <w:rPr>
          <w:color w:val="auto"/>
        </w:rPr>
      </w:pPr>
      <w:r w:rsidRPr="001E0A74">
        <w:rPr>
          <w:color w:val="auto"/>
        </w:rPr>
        <w:t xml:space="preserve">While it has been hinted the current </w:t>
      </w:r>
      <w:r w:rsidR="00F301AF" w:rsidRPr="001E0A74">
        <w:rPr>
          <w:color w:val="auto"/>
        </w:rPr>
        <w:t>g</w:t>
      </w:r>
      <w:r w:rsidRPr="001E0A74">
        <w:rPr>
          <w:color w:val="auto"/>
        </w:rPr>
        <w:t>overnment will revisit this proposal, the Budget was silent</w:t>
      </w:r>
      <w:r w:rsidR="009B0E76">
        <w:rPr>
          <w:color w:val="auto"/>
        </w:rPr>
        <w:t xml:space="preserve"> on this</w:t>
      </w:r>
      <w:r w:rsidRPr="001E0A74">
        <w:rPr>
          <w:color w:val="auto"/>
        </w:rPr>
        <w:t>.</w:t>
      </w:r>
    </w:p>
    <w:p w14:paraId="6A1CEC58" w14:textId="77777777" w:rsidR="008A4760" w:rsidRPr="001E0A74" w:rsidRDefault="008A4760" w:rsidP="00B36227">
      <w:pPr>
        <w:pStyle w:val="BodyText"/>
        <w:spacing w:line="240" w:lineRule="auto"/>
        <w:rPr>
          <w:b/>
          <w:bCs/>
          <w:color w:val="auto"/>
        </w:rPr>
      </w:pPr>
      <w:r w:rsidRPr="001E0A74">
        <w:rPr>
          <w:b/>
          <w:bCs/>
          <w:color w:val="auto"/>
        </w:rPr>
        <w:t>Transfer balance cap indexation</w:t>
      </w:r>
    </w:p>
    <w:p w14:paraId="72A3D8FD" w14:textId="0F53B836" w:rsidR="008A4760" w:rsidRPr="001E0A74" w:rsidRDefault="008A4760" w:rsidP="00B36227">
      <w:pPr>
        <w:pStyle w:val="BodyText"/>
        <w:spacing w:line="240" w:lineRule="auto"/>
        <w:rPr>
          <w:color w:val="auto"/>
        </w:rPr>
      </w:pPr>
      <w:r w:rsidRPr="001E0A74">
        <w:rPr>
          <w:color w:val="auto"/>
        </w:rPr>
        <w:t>The general transfer balance cap is scheduled to increase to $1.9</w:t>
      </w:r>
      <w:r w:rsidR="002F7B20">
        <w:rPr>
          <w:color w:val="auto"/>
        </w:rPr>
        <w:t xml:space="preserve"> </w:t>
      </w:r>
      <w:r w:rsidRPr="001E0A74">
        <w:rPr>
          <w:color w:val="auto"/>
        </w:rPr>
        <w:t>m</w:t>
      </w:r>
      <w:r w:rsidR="002F7B20">
        <w:rPr>
          <w:color w:val="auto"/>
        </w:rPr>
        <w:t>illion</w:t>
      </w:r>
      <w:r w:rsidRPr="001E0A74">
        <w:rPr>
          <w:color w:val="auto"/>
        </w:rPr>
        <w:t xml:space="preserve"> from 1 July 2023. </w:t>
      </w:r>
    </w:p>
    <w:p w14:paraId="12C846C4" w14:textId="3A614D26" w:rsidR="008A4760" w:rsidRPr="001E0A74" w:rsidRDefault="008A4760" w:rsidP="00B36227">
      <w:pPr>
        <w:pStyle w:val="BodyText"/>
        <w:spacing w:line="240" w:lineRule="auto"/>
        <w:rPr>
          <w:color w:val="auto"/>
        </w:rPr>
      </w:pPr>
      <w:r w:rsidRPr="001E0A74">
        <w:rPr>
          <w:color w:val="auto"/>
        </w:rPr>
        <w:t xml:space="preserve">While the method of indexation is enshrined in current law, there had been some concern the </w:t>
      </w:r>
      <w:r w:rsidR="009B0E76">
        <w:rPr>
          <w:color w:val="auto"/>
        </w:rPr>
        <w:t>G</w:t>
      </w:r>
      <w:r w:rsidRPr="001E0A74">
        <w:rPr>
          <w:color w:val="auto"/>
        </w:rPr>
        <w:t xml:space="preserve">overnment might move to pause or limit indexation. </w:t>
      </w:r>
    </w:p>
    <w:p w14:paraId="6EE601F6" w14:textId="77777777" w:rsidR="00B36227" w:rsidRDefault="008A4760" w:rsidP="00B36227">
      <w:pPr>
        <w:pStyle w:val="BodyText"/>
        <w:spacing w:line="240" w:lineRule="auto"/>
        <w:rPr>
          <w:color w:val="auto"/>
        </w:rPr>
      </w:pPr>
      <w:r w:rsidRPr="001E0A74">
        <w:rPr>
          <w:color w:val="auto"/>
        </w:rPr>
        <w:t>Again, the Budget was silent on any changes to the indexation of the general transfer balance cap, so we expect the cap to increase to $1.9</w:t>
      </w:r>
      <w:r w:rsidR="002F7B20">
        <w:rPr>
          <w:color w:val="auto"/>
        </w:rPr>
        <w:t xml:space="preserve"> </w:t>
      </w:r>
      <w:r w:rsidRPr="001E0A74">
        <w:rPr>
          <w:color w:val="auto"/>
        </w:rPr>
        <w:t>m</w:t>
      </w:r>
      <w:r w:rsidR="002F7B20">
        <w:rPr>
          <w:color w:val="auto"/>
        </w:rPr>
        <w:t>illion</w:t>
      </w:r>
      <w:r w:rsidRPr="001E0A74">
        <w:rPr>
          <w:color w:val="auto"/>
        </w:rPr>
        <w:t xml:space="preserve"> from 1 July 2023.</w:t>
      </w:r>
    </w:p>
    <w:p w14:paraId="284F9390" w14:textId="5BDAAB2F" w:rsidR="008A4760" w:rsidRPr="001E0A74" w:rsidRDefault="008A4760" w:rsidP="00B36227">
      <w:pPr>
        <w:pStyle w:val="BodyText"/>
        <w:spacing w:line="240" w:lineRule="auto"/>
        <w:rPr>
          <w:color w:val="auto"/>
        </w:rPr>
      </w:pPr>
      <w:r w:rsidRPr="001E0A74">
        <w:rPr>
          <w:color w:val="auto"/>
        </w:rPr>
        <w:t xml:space="preserve">  </w:t>
      </w:r>
    </w:p>
    <w:p w14:paraId="6F24FE7F" w14:textId="77777777" w:rsidR="008A4760" w:rsidRPr="007B2E3D" w:rsidRDefault="008A4760" w:rsidP="00B36227">
      <w:pPr>
        <w:pStyle w:val="BodyText"/>
        <w:spacing w:line="240" w:lineRule="auto"/>
        <w:rPr>
          <w:rFonts w:ascii="Arial" w:hAnsi="Arial" w:cs="Arial"/>
          <w:b/>
          <w:bCs/>
          <w:color w:val="1ED2E6" w:themeColor="accent1"/>
          <w:sz w:val="24"/>
          <w:szCs w:val="24"/>
        </w:rPr>
      </w:pPr>
      <w:r>
        <w:rPr>
          <w:rFonts w:ascii="Arial" w:hAnsi="Arial" w:cs="Arial"/>
          <w:b/>
          <w:bCs/>
          <w:color w:val="1ED2E6" w:themeColor="accent1"/>
          <w:sz w:val="24"/>
          <w:szCs w:val="24"/>
        </w:rPr>
        <w:t>INCOME TAX</w:t>
      </w:r>
    </w:p>
    <w:p w14:paraId="79443948" w14:textId="0FD7F9E7" w:rsidR="00B36227" w:rsidRDefault="008A4760" w:rsidP="00B36227">
      <w:pPr>
        <w:pStyle w:val="BodyText"/>
        <w:spacing w:line="240" w:lineRule="auto"/>
        <w:rPr>
          <w:color w:val="auto"/>
        </w:rPr>
      </w:pPr>
      <w:r w:rsidRPr="001E0A74">
        <w:rPr>
          <w:color w:val="auto"/>
        </w:rPr>
        <w:t xml:space="preserve">Like superannuation, the Budget was </w:t>
      </w:r>
      <w:r w:rsidR="002D050C" w:rsidRPr="001E0A74">
        <w:rPr>
          <w:color w:val="auto"/>
        </w:rPr>
        <w:t>very quiet on income tax, with a couple of minor exceptions.</w:t>
      </w:r>
    </w:p>
    <w:p w14:paraId="6B9AC724" w14:textId="77777777" w:rsidR="00B36227" w:rsidRDefault="00B36227">
      <w:pPr>
        <w:spacing w:before="0" w:after="160" w:line="259" w:lineRule="auto"/>
      </w:pPr>
      <w:r>
        <w:br w:type="page"/>
      </w:r>
    </w:p>
    <w:p w14:paraId="70236381" w14:textId="169CB9D7" w:rsidR="00802716" w:rsidRPr="001E0A74" w:rsidRDefault="00802716" w:rsidP="00B36227">
      <w:pPr>
        <w:pStyle w:val="BodyText"/>
        <w:spacing w:line="240" w:lineRule="auto"/>
        <w:rPr>
          <w:b/>
          <w:bCs/>
          <w:color w:val="auto"/>
        </w:rPr>
      </w:pPr>
      <w:r w:rsidRPr="001E0A74">
        <w:rPr>
          <w:b/>
          <w:bCs/>
          <w:color w:val="auto"/>
        </w:rPr>
        <w:lastRenderedPageBreak/>
        <w:t>Exempting lump sums in arrears from the Medicare Levy</w:t>
      </w:r>
    </w:p>
    <w:p w14:paraId="159235DD" w14:textId="12C59595" w:rsidR="00802716" w:rsidRPr="001E0A74" w:rsidRDefault="007169DE" w:rsidP="00B36227">
      <w:pPr>
        <w:pStyle w:val="BodyText"/>
        <w:spacing w:line="240" w:lineRule="auto"/>
        <w:rPr>
          <w:color w:val="auto"/>
        </w:rPr>
      </w:pPr>
      <w:r w:rsidRPr="001E0A74">
        <w:rPr>
          <w:color w:val="auto"/>
        </w:rPr>
        <w:t xml:space="preserve">This </w:t>
      </w:r>
      <w:r w:rsidR="001542FD" w:rsidRPr="001E0A74">
        <w:rPr>
          <w:color w:val="auto"/>
        </w:rPr>
        <w:t>initiative</w:t>
      </w:r>
      <w:r w:rsidRPr="001E0A74">
        <w:rPr>
          <w:color w:val="auto"/>
        </w:rPr>
        <w:t>, due to apply from 1 July 2024</w:t>
      </w:r>
      <w:r w:rsidR="001542FD" w:rsidRPr="001E0A74">
        <w:rPr>
          <w:color w:val="auto"/>
        </w:rPr>
        <w:t>,</w:t>
      </w:r>
      <w:r w:rsidRPr="001E0A74">
        <w:rPr>
          <w:color w:val="auto"/>
        </w:rPr>
        <w:t xml:space="preserve"> will ensure that low-income earners don’t pay a higher </w:t>
      </w:r>
      <w:r w:rsidR="001542FD" w:rsidRPr="001E0A74">
        <w:rPr>
          <w:color w:val="auto"/>
        </w:rPr>
        <w:t>Medicare</w:t>
      </w:r>
      <w:r w:rsidRPr="001E0A74">
        <w:rPr>
          <w:color w:val="auto"/>
        </w:rPr>
        <w:t xml:space="preserve"> Levy </w:t>
      </w:r>
      <w:r w:rsidR="000B2B44" w:rsidRPr="001E0A74">
        <w:rPr>
          <w:color w:val="auto"/>
        </w:rPr>
        <w:t>because of</w:t>
      </w:r>
      <w:r w:rsidRPr="001E0A74">
        <w:rPr>
          <w:color w:val="auto"/>
        </w:rPr>
        <w:t xml:space="preserve"> receiving a</w:t>
      </w:r>
      <w:r w:rsidR="000B2B44" w:rsidRPr="001E0A74">
        <w:rPr>
          <w:color w:val="auto"/>
        </w:rPr>
        <w:t>n</w:t>
      </w:r>
      <w:r w:rsidRPr="001E0A74">
        <w:rPr>
          <w:color w:val="auto"/>
        </w:rPr>
        <w:t xml:space="preserve"> eligible </w:t>
      </w:r>
      <w:r w:rsidR="001542FD" w:rsidRPr="001E0A74">
        <w:rPr>
          <w:color w:val="auto"/>
        </w:rPr>
        <w:t>lump sum payment</w:t>
      </w:r>
      <w:r w:rsidR="000B2B44" w:rsidRPr="001E0A74">
        <w:rPr>
          <w:color w:val="auto"/>
        </w:rPr>
        <w:t>,</w:t>
      </w:r>
      <w:r w:rsidR="001542FD" w:rsidRPr="001E0A74">
        <w:rPr>
          <w:color w:val="auto"/>
        </w:rPr>
        <w:t xml:space="preserve"> such as compensation for underpaid wages. </w:t>
      </w:r>
    </w:p>
    <w:p w14:paraId="41083664" w14:textId="548B3D72" w:rsidR="000F14FB" w:rsidRPr="001E0A74" w:rsidRDefault="000F14FB" w:rsidP="00B36227">
      <w:pPr>
        <w:pStyle w:val="BodyText"/>
        <w:spacing w:line="240" w:lineRule="auto"/>
        <w:rPr>
          <w:color w:val="auto"/>
        </w:rPr>
      </w:pPr>
      <w:r w:rsidRPr="001E0A74">
        <w:rPr>
          <w:color w:val="auto"/>
        </w:rPr>
        <w:t xml:space="preserve">While this is worthwhile for those affected, it is expected to have minimal impact as the </w:t>
      </w:r>
      <w:r w:rsidR="00E15715" w:rsidRPr="001E0A74">
        <w:rPr>
          <w:color w:val="auto"/>
        </w:rPr>
        <w:t xml:space="preserve">cost to the </w:t>
      </w:r>
      <w:r w:rsidR="00F301AF" w:rsidRPr="001E0A74">
        <w:rPr>
          <w:color w:val="auto"/>
        </w:rPr>
        <w:t>B</w:t>
      </w:r>
      <w:r w:rsidR="00E15715" w:rsidRPr="001E0A74">
        <w:rPr>
          <w:color w:val="auto"/>
        </w:rPr>
        <w:t xml:space="preserve">udget is </w:t>
      </w:r>
      <w:r w:rsidR="00F301AF" w:rsidRPr="001E0A74">
        <w:rPr>
          <w:color w:val="auto"/>
        </w:rPr>
        <w:t xml:space="preserve">only </w:t>
      </w:r>
      <w:r w:rsidR="00E15715" w:rsidRPr="001E0A74">
        <w:rPr>
          <w:color w:val="auto"/>
        </w:rPr>
        <w:t xml:space="preserve">$2m over the next five years. </w:t>
      </w:r>
    </w:p>
    <w:p w14:paraId="4412E73F" w14:textId="7CC1310D" w:rsidR="00213964" w:rsidRPr="001E0A74" w:rsidRDefault="00213964" w:rsidP="00B36227">
      <w:pPr>
        <w:pStyle w:val="BodyText"/>
        <w:spacing w:line="240" w:lineRule="auto"/>
        <w:rPr>
          <w:b/>
          <w:bCs/>
          <w:color w:val="auto"/>
        </w:rPr>
      </w:pPr>
      <w:r w:rsidRPr="001E0A74">
        <w:rPr>
          <w:b/>
          <w:bCs/>
          <w:color w:val="auto"/>
        </w:rPr>
        <w:t xml:space="preserve">Medicare levy low-income </w:t>
      </w:r>
      <w:proofErr w:type="gramStart"/>
      <w:r w:rsidRPr="001E0A74">
        <w:rPr>
          <w:b/>
          <w:bCs/>
          <w:color w:val="auto"/>
        </w:rPr>
        <w:t>threshold</w:t>
      </w:r>
      <w:proofErr w:type="gramEnd"/>
      <w:r w:rsidRPr="001E0A74">
        <w:rPr>
          <w:b/>
          <w:bCs/>
          <w:color w:val="auto"/>
        </w:rPr>
        <w:t xml:space="preserve"> </w:t>
      </w:r>
    </w:p>
    <w:p w14:paraId="4154D6AF" w14:textId="7B329BEB" w:rsidR="007C748F" w:rsidRPr="001E0A74" w:rsidRDefault="007C748F" w:rsidP="00B36227">
      <w:pPr>
        <w:pStyle w:val="BodyText"/>
        <w:spacing w:line="240" w:lineRule="auto"/>
        <w:rPr>
          <w:color w:val="auto"/>
        </w:rPr>
      </w:pPr>
      <w:r w:rsidRPr="001E0A74">
        <w:rPr>
          <w:color w:val="auto"/>
        </w:rPr>
        <w:t xml:space="preserve">As </w:t>
      </w:r>
      <w:r w:rsidR="00EE2557" w:rsidRPr="001E0A74">
        <w:rPr>
          <w:color w:val="auto"/>
        </w:rPr>
        <w:t>occurs</w:t>
      </w:r>
      <w:r w:rsidRPr="001E0A74">
        <w:rPr>
          <w:color w:val="auto"/>
        </w:rPr>
        <w:t xml:space="preserve"> m</w:t>
      </w:r>
      <w:r w:rsidR="00EE2557" w:rsidRPr="001E0A74">
        <w:rPr>
          <w:color w:val="auto"/>
        </w:rPr>
        <w:t>o</w:t>
      </w:r>
      <w:r w:rsidRPr="001E0A74">
        <w:rPr>
          <w:color w:val="auto"/>
        </w:rPr>
        <w:t xml:space="preserve">st years, the income thresholds </w:t>
      </w:r>
      <w:r w:rsidR="00EE2557" w:rsidRPr="001E0A74">
        <w:rPr>
          <w:color w:val="auto"/>
        </w:rPr>
        <w:t>applying</w:t>
      </w:r>
      <w:r w:rsidRPr="001E0A74">
        <w:rPr>
          <w:color w:val="auto"/>
        </w:rPr>
        <w:t xml:space="preserve"> to the </w:t>
      </w:r>
      <w:r w:rsidR="00EE2557" w:rsidRPr="001E0A74">
        <w:rPr>
          <w:color w:val="auto"/>
        </w:rPr>
        <w:t>Medicare</w:t>
      </w:r>
      <w:r w:rsidRPr="001E0A74">
        <w:rPr>
          <w:color w:val="auto"/>
        </w:rPr>
        <w:t xml:space="preserve"> </w:t>
      </w:r>
      <w:r w:rsidR="00EE2557" w:rsidRPr="001E0A74">
        <w:rPr>
          <w:color w:val="auto"/>
        </w:rPr>
        <w:t>Levy</w:t>
      </w:r>
      <w:r w:rsidRPr="001E0A74">
        <w:rPr>
          <w:color w:val="auto"/>
        </w:rPr>
        <w:t xml:space="preserve"> are to increase from 1 July 2022.</w:t>
      </w:r>
    </w:p>
    <w:p w14:paraId="48A1F2A3" w14:textId="02ED07BB" w:rsidR="00EE2557" w:rsidRPr="001E0A74" w:rsidRDefault="00EE2557" w:rsidP="00B36227">
      <w:pPr>
        <w:pStyle w:val="BodyText"/>
        <w:spacing w:line="240" w:lineRule="auto"/>
        <w:rPr>
          <w:color w:val="auto"/>
        </w:rPr>
      </w:pPr>
      <w:r w:rsidRPr="001E0A74">
        <w:rPr>
          <w:color w:val="auto"/>
        </w:rPr>
        <w:t>The proposed thresholds are:</w:t>
      </w:r>
    </w:p>
    <w:tbl>
      <w:tblPr>
        <w:tblStyle w:val="CATable"/>
        <w:tblW w:w="0" w:type="auto"/>
        <w:tblLook w:val="04A0" w:firstRow="1" w:lastRow="0" w:firstColumn="1" w:lastColumn="0" w:noHBand="0" w:noVBand="1"/>
      </w:tblPr>
      <w:tblGrid>
        <w:gridCol w:w="3961"/>
        <w:gridCol w:w="2943"/>
        <w:gridCol w:w="2944"/>
      </w:tblGrid>
      <w:tr w:rsidR="007B40CC" w14:paraId="162C1B78" w14:textId="77777777" w:rsidTr="004E0F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1" w:type="dxa"/>
          </w:tcPr>
          <w:p w14:paraId="04297CF5" w14:textId="60CF87AF" w:rsidR="007B40CC" w:rsidRPr="00D059AE" w:rsidRDefault="007B40CC" w:rsidP="00B36227">
            <w:pPr>
              <w:pStyle w:val="BodyText"/>
              <w:spacing w:line="240" w:lineRule="auto"/>
              <w:rPr>
                <w:b/>
                <w:bCs/>
                <w:caps/>
                <w:color w:val="FF0000"/>
              </w:rPr>
            </w:pPr>
            <w:r w:rsidRPr="00D059AE">
              <w:rPr>
                <w:b/>
                <w:bCs/>
                <w:caps/>
                <w:color w:val="FFFFFF" w:themeColor="background1"/>
              </w:rPr>
              <w:t>Status</w:t>
            </w:r>
          </w:p>
        </w:tc>
        <w:tc>
          <w:tcPr>
            <w:tcW w:w="2943" w:type="dxa"/>
          </w:tcPr>
          <w:p w14:paraId="46AB7727" w14:textId="27986D7B" w:rsidR="007B40CC" w:rsidRPr="00D059AE" w:rsidRDefault="00D059AE" w:rsidP="00B36227">
            <w:pPr>
              <w:pStyle w:val="BodyText"/>
              <w:spacing w:line="240" w:lineRule="auto"/>
              <w:cnfStyle w:val="100000000000" w:firstRow="1" w:lastRow="0" w:firstColumn="0" w:lastColumn="0" w:oddVBand="0" w:evenVBand="0" w:oddHBand="0" w:evenHBand="0" w:firstRowFirstColumn="0" w:firstRowLastColumn="0" w:lastRowFirstColumn="0" w:lastRowLastColumn="0"/>
              <w:rPr>
                <w:b/>
                <w:bCs/>
                <w:caps/>
                <w:color w:val="FFFFFF" w:themeColor="background1"/>
              </w:rPr>
            </w:pPr>
            <w:r w:rsidRPr="00D059AE">
              <w:rPr>
                <w:b/>
                <w:bCs/>
                <w:caps/>
                <w:color w:val="FFFFFF" w:themeColor="background1"/>
              </w:rPr>
              <w:t>Current threshold</w:t>
            </w:r>
          </w:p>
        </w:tc>
        <w:tc>
          <w:tcPr>
            <w:tcW w:w="2944" w:type="dxa"/>
          </w:tcPr>
          <w:p w14:paraId="3B06FD31" w14:textId="347BBA83" w:rsidR="007B40CC" w:rsidRPr="00D059AE" w:rsidRDefault="00D059AE" w:rsidP="00B36227">
            <w:pPr>
              <w:pStyle w:val="BodyText"/>
              <w:spacing w:line="240" w:lineRule="auto"/>
              <w:cnfStyle w:val="100000000000" w:firstRow="1" w:lastRow="0" w:firstColumn="0" w:lastColumn="0" w:oddVBand="0" w:evenVBand="0" w:oddHBand="0" w:evenHBand="0" w:firstRowFirstColumn="0" w:firstRowLastColumn="0" w:lastRowFirstColumn="0" w:lastRowLastColumn="0"/>
              <w:rPr>
                <w:b/>
                <w:bCs/>
                <w:caps/>
                <w:color w:val="FFFFFF" w:themeColor="background1"/>
              </w:rPr>
            </w:pPr>
            <w:r w:rsidRPr="00D059AE">
              <w:rPr>
                <w:b/>
                <w:bCs/>
                <w:caps/>
                <w:color w:val="FFFFFF" w:themeColor="background1"/>
              </w:rPr>
              <w:t>New threshold</w:t>
            </w:r>
          </w:p>
        </w:tc>
      </w:tr>
      <w:tr w:rsidR="007B40CC" w14:paraId="48774BA6" w14:textId="77777777" w:rsidTr="004E0F56">
        <w:tc>
          <w:tcPr>
            <w:cnfStyle w:val="001000000000" w:firstRow="0" w:lastRow="0" w:firstColumn="1" w:lastColumn="0" w:oddVBand="0" w:evenVBand="0" w:oddHBand="0" w:evenHBand="0" w:firstRowFirstColumn="0" w:firstRowLastColumn="0" w:lastRowFirstColumn="0" w:lastRowLastColumn="0"/>
            <w:tcW w:w="3961" w:type="dxa"/>
            <w:shd w:val="clear" w:color="auto" w:fill="D6EFFB" w:themeFill="text2" w:themeFillTint="1A"/>
          </w:tcPr>
          <w:p w14:paraId="352675D4" w14:textId="20C99B6A" w:rsidR="007B40CC" w:rsidRPr="00F45B38" w:rsidRDefault="00F45B38" w:rsidP="00B36227">
            <w:pPr>
              <w:pStyle w:val="BodyText"/>
              <w:spacing w:line="240" w:lineRule="auto"/>
              <w:rPr>
                <w:color w:val="auto"/>
              </w:rPr>
            </w:pPr>
            <w:r>
              <w:rPr>
                <w:color w:val="auto"/>
              </w:rPr>
              <w:t>Single</w:t>
            </w:r>
          </w:p>
        </w:tc>
        <w:tc>
          <w:tcPr>
            <w:tcW w:w="2943" w:type="dxa"/>
            <w:shd w:val="clear" w:color="auto" w:fill="D6EFFB" w:themeFill="text2" w:themeFillTint="1A"/>
          </w:tcPr>
          <w:p w14:paraId="1F831870" w14:textId="74AFCEA4" w:rsidR="007B40CC" w:rsidRPr="00F45B38" w:rsidRDefault="00F45B38"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w:t>
            </w:r>
            <w:r w:rsidR="00285615">
              <w:rPr>
                <w:color w:val="auto"/>
              </w:rPr>
              <w:t>23,365</w:t>
            </w:r>
          </w:p>
        </w:tc>
        <w:tc>
          <w:tcPr>
            <w:tcW w:w="2944" w:type="dxa"/>
            <w:shd w:val="clear" w:color="auto" w:fill="D6EFFB" w:themeFill="text2" w:themeFillTint="1A"/>
          </w:tcPr>
          <w:p w14:paraId="034D530A" w14:textId="019F95EF" w:rsidR="007B40CC" w:rsidRPr="00F45B38" w:rsidRDefault="00285615"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$24,276</w:t>
            </w:r>
          </w:p>
        </w:tc>
      </w:tr>
      <w:tr w:rsidR="007B40CC" w14:paraId="7FB4C1EC" w14:textId="77777777" w:rsidTr="004E0F56">
        <w:tc>
          <w:tcPr>
            <w:cnfStyle w:val="001000000000" w:firstRow="0" w:lastRow="0" w:firstColumn="1" w:lastColumn="0" w:oddVBand="0" w:evenVBand="0" w:oddHBand="0" w:evenHBand="0" w:firstRowFirstColumn="0" w:firstRowLastColumn="0" w:lastRowFirstColumn="0" w:lastRowLastColumn="0"/>
            <w:tcW w:w="3961" w:type="dxa"/>
            <w:shd w:val="clear" w:color="auto" w:fill="D6EFFB" w:themeFill="text2" w:themeFillTint="1A"/>
          </w:tcPr>
          <w:p w14:paraId="239DEECF" w14:textId="0060E6DC" w:rsidR="007B40CC" w:rsidRPr="00F45B38" w:rsidRDefault="00285615" w:rsidP="00B36227">
            <w:pPr>
              <w:pStyle w:val="BodyText"/>
              <w:spacing w:line="240" w:lineRule="auto"/>
              <w:rPr>
                <w:color w:val="auto"/>
              </w:rPr>
            </w:pPr>
            <w:r>
              <w:rPr>
                <w:color w:val="auto"/>
              </w:rPr>
              <w:t>Family</w:t>
            </w:r>
          </w:p>
        </w:tc>
        <w:tc>
          <w:tcPr>
            <w:tcW w:w="2943" w:type="dxa"/>
            <w:shd w:val="clear" w:color="auto" w:fill="D6EFFB" w:themeFill="text2" w:themeFillTint="1A"/>
          </w:tcPr>
          <w:p w14:paraId="7CDF3AF6" w14:textId="003444C9" w:rsidR="007B40CC" w:rsidRPr="00F45B38" w:rsidRDefault="00285615"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$39,402</w:t>
            </w:r>
          </w:p>
        </w:tc>
        <w:tc>
          <w:tcPr>
            <w:tcW w:w="2944" w:type="dxa"/>
            <w:shd w:val="clear" w:color="auto" w:fill="D6EFFB" w:themeFill="text2" w:themeFillTint="1A"/>
          </w:tcPr>
          <w:p w14:paraId="1AE5DF50" w14:textId="1BCAE278" w:rsidR="007B40CC" w:rsidRPr="00F45B38" w:rsidRDefault="00285615"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$40,939</w:t>
            </w:r>
          </w:p>
        </w:tc>
      </w:tr>
      <w:tr w:rsidR="007B40CC" w14:paraId="1285C2FE" w14:textId="77777777" w:rsidTr="004E0F56">
        <w:tc>
          <w:tcPr>
            <w:cnfStyle w:val="001000000000" w:firstRow="0" w:lastRow="0" w:firstColumn="1" w:lastColumn="0" w:oddVBand="0" w:evenVBand="0" w:oddHBand="0" w:evenHBand="0" w:firstRowFirstColumn="0" w:firstRowLastColumn="0" w:lastRowFirstColumn="0" w:lastRowLastColumn="0"/>
            <w:tcW w:w="3961" w:type="dxa"/>
            <w:shd w:val="clear" w:color="auto" w:fill="D6EFFB" w:themeFill="text2" w:themeFillTint="1A"/>
          </w:tcPr>
          <w:p w14:paraId="54806DF9" w14:textId="47A286F0" w:rsidR="007B40CC" w:rsidRPr="00F45B38" w:rsidRDefault="005F65FC" w:rsidP="00B36227">
            <w:pPr>
              <w:pStyle w:val="BodyText"/>
              <w:spacing w:line="240" w:lineRule="auto"/>
              <w:rPr>
                <w:color w:val="auto"/>
              </w:rPr>
            </w:pPr>
            <w:r>
              <w:rPr>
                <w:color w:val="auto"/>
              </w:rPr>
              <w:t>Single seniors and pensioners</w:t>
            </w:r>
          </w:p>
        </w:tc>
        <w:tc>
          <w:tcPr>
            <w:tcW w:w="2943" w:type="dxa"/>
            <w:shd w:val="clear" w:color="auto" w:fill="D6EFFB" w:themeFill="text2" w:themeFillTint="1A"/>
          </w:tcPr>
          <w:p w14:paraId="5E07D162" w14:textId="4D0707F0" w:rsidR="007B40CC" w:rsidRPr="00F45B38" w:rsidRDefault="005F65FC"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$36,925</w:t>
            </w:r>
          </w:p>
        </w:tc>
        <w:tc>
          <w:tcPr>
            <w:tcW w:w="2944" w:type="dxa"/>
            <w:shd w:val="clear" w:color="auto" w:fill="D6EFFB" w:themeFill="text2" w:themeFillTint="1A"/>
          </w:tcPr>
          <w:p w14:paraId="6CF873F7" w14:textId="06A3EB56" w:rsidR="007B40CC" w:rsidRPr="00F45B38" w:rsidRDefault="005F65FC"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$38,365</w:t>
            </w:r>
          </w:p>
        </w:tc>
      </w:tr>
      <w:tr w:rsidR="005F65FC" w14:paraId="2EA36EB5" w14:textId="77777777" w:rsidTr="004E0F56">
        <w:tc>
          <w:tcPr>
            <w:cnfStyle w:val="001000000000" w:firstRow="0" w:lastRow="0" w:firstColumn="1" w:lastColumn="0" w:oddVBand="0" w:evenVBand="0" w:oddHBand="0" w:evenHBand="0" w:firstRowFirstColumn="0" w:firstRowLastColumn="0" w:lastRowFirstColumn="0" w:lastRowLastColumn="0"/>
            <w:tcW w:w="3961" w:type="dxa"/>
            <w:shd w:val="clear" w:color="auto" w:fill="D6EFFB" w:themeFill="text2" w:themeFillTint="1A"/>
          </w:tcPr>
          <w:p w14:paraId="6EA7985B" w14:textId="17DB5A32" w:rsidR="005F65FC" w:rsidRDefault="005F65FC" w:rsidP="00B36227">
            <w:pPr>
              <w:pStyle w:val="BodyText"/>
              <w:spacing w:line="240" w:lineRule="auto"/>
              <w:rPr>
                <w:color w:val="auto"/>
              </w:rPr>
            </w:pPr>
            <w:r>
              <w:rPr>
                <w:color w:val="auto"/>
              </w:rPr>
              <w:t>Fa</w:t>
            </w:r>
            <w:r w:rsidR="00463F54">
              <w:rPr>
                <w:color w:val="auto"/>
              </w:rPr>
              <w:t>mily seniors and pensioners</w:t>
            </w:r>
          </w:p>
        </w:tc>
        <w:tc>
          <w:tcPr>
            <w:tcW w:w="2943" w:type="dxa"/>
            <w:shd w:val="clear" w:color="auto" w:fill="D6EFFB" w:themeFill="text2" w:themeFillTint="1A"/>
          </w:tcPr>
          <w:p w14:paraId="2E8CDCFC" w14:textId="01431536" w:rsidR="005F65FC" w:rsidRDefault="00463F54"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$51,401</w:t>
            </w:r>
          </w:p>
        </w:tc>
        <w:tc>
          <w:tcPr>
            <w:tcW w:w="2944" w:type="dxa"/>
            <w:shd w:val="clear" w:color="auto" w:fill="D6EFFB" w:themeFill="text2" w:themeFillTint="1A"/>
          </w:tcPr>
          <w:p w14:paraId="6D06882F" w14:textId="6F537D9C" w:rsidR="005F65FC" w:rsidRDefault="00463F54"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$53,406</w:t>
            </w:r>
          </w:p>
        </w:tc>
      </w:tr>
      <w:tr w:rsidR="00463F54" w14:paraId="2E8D15C6" w14:textId="77777777" w:rsidTr="004E0F56">
        <w:tc>
          <w:tcPr>
            <w:cnfStyle w:val="001000000000" w:firstRow="0" w:lastRow="0" w:firstColumn="1" w:lastColumn="0" w:oddVBand="0" w:evenVBand="0" w:oddHBand="0" w:evenHBand="0" w:firstRowFirstColumn="0" w:firstRowLastColumn="0" w:lastRowFirstColumn="0" w:lastRowLastColumn="0"/>
            <w:tcW w:w="3961" w:type="dxa"/>
            <w:shd w:val="clear" w:color="auto" w:fill="D6EFFB" w:themeFill="text2" w:themeFillTint="1A"/>
          </w:tcPr>
          <w:p w14:paraId="56C1C7E3" w14:textId="0EF4629E" w:rsidR="00463F54" w:rsidRDefault="00463F54" w:rsidP="00B36227">
            <w:pPr>
              <w:pStyle w:val="BodyText"/>
              <w:spacing w:line="240" w:lineRule="auto"/>
              <w:rPr>
                <w:color w:val="auto"/>
              </w:rPr>
            </w:pPr>
            <w:r>
              <w:rPr>
                <w:color w:val="auto"/>
              </w:rPr>
              <w:t xml:space="preserve">Each </w:t>
            </w:r>
            <w:r w:rsidR="009B1380">
              <w:rPr>
                <w:color w:val="auto"/>
              </w:rPr>
              <w:t>dependent</w:t>
            </w:r>
            <w:r w:rsidR="00404D60">
              <w:rPr>
                <w:color w:val="auto"/>
              </w:rPr>
              <w:t xml:space="preserve"> child or student</w:t>
            </w:r>
          </w:p>
        </w:tc>
        <w:tc>
          <w:tcPr>
            <w:tcW w:w="2943" w:type="dxa"/>
            <w:shd w:val="clear" w:color="auto" w:fill="D6EFFB" w:themeFill="text2" w:themeFillTint="1A"/>
          </w:tcPr>
          <w:p w14:paraId="631E28DA" w14:textId="269F5983" w:rsidR="00463F54" w:rsidRDefault="00D51A42"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+$3,619</w:t>
            </w:r>
          </w:p>
        </w:tc>
        <w:tc>
          <w:tcPr>
            <w:tcW w:w="2944" w:type="dxa"/>
            <w:shd w:val="clear" w:color="auto" w:fill="D6EFFB" w:themeFill="text2" w:themeFillTint="1A"/>
          </w:tcPr>
          <w:p w14:paraId="171227C9" w14:textId="19DD9CAF" w:rsidR="00463F54" w:rsidRDefault="00D51A42" w:rsidP="00B36227">
            <w:pPr>
              <w:pStyle w:val="BodyText"/>
              <w:spacing w:line="240" w:lineRule="auto"/>
              <w:cnfStyle w:val="000000000000" w:firstRow="0" w:lastRow="0" w:firstColumn="0" w:lastColumn="0" w:oddVBand="0" w:evenVBand="0" w:oddHBand="0" w:evenHBand="0" w:firstRowFirstColumn="0" w:firstRowLastColumn="0" w:lastRowFirstColumn="0" w:lastRowLastColumn="0"/>
              <w:rPr>
                <w:color w:val="auto"/>
              </w:rPr>
            </w:pPr>
            <w:r>
              <w:rPr>
                <w:color w:val="auto"/>
              </w:rPr>
              <w:t>+$3,760</w:t>
            </w:r>
          </w:p>
        </w:tc>
      </w:tr>
    </w:tbl>
    <w:p w14:paraId="715D4000" w14:textId="77777777" w:rsidR="00062F87" w:rsidRPr="00062F87" w:rsidRDefault="00062F87" w:rsidP="00B36227">
      <w:pPr>
        <w:pStyle w:val="BodyText"/>
        <w:spacing w:line="240" w:lineRule="auto"/>
        <w:rPr>
          <w:color w:val="5A5B5E" w:themeColor="text1"/>
        </w:rPr>
      </w:pPr>
    </w:p>
    <w:p w14:paraId="640B4144" w14:textId="367FB779" w:rsidR="00202458" w:rsidRPr="007B2E3D" w:rsidRDefault="007D131C" w:rsidP="00B36227">
      <w:pPr>
        <w:pStyle w:val="Header1"/>
        <w:spacing w:before="0" w:after="120" w:line="240" w:lineRule="auto"/>
        <w:rPr>
          <w:rFonts w:ascii="Arial" w:hAnsi="Arial" w:cs="Arial"/>
        </w:rPr>
      </w:pPr>
      <w:r w:rsidRPr="007B2E3D">
        <w:rPr>
          <w:rFonts w:ascii="Arial" w:hAnsi="Arial" w:cs="Arial"/>
        </w:rPr>
        <w:t xml:space="preserve">Small </w:t>
      </w:r>
      <w:r w:rsidR="00202458" w:rsidRPr="007B2E3D">
        <w:rPr>
          <w:rFonts w:ascii="Arial" w:hAnsi="Arial" w:cs="Arial"/>
        </w:rPr>
        <w:t>Business</w:t>
      </w:r>
    </w:p>
    <w:p w14:paraId="59C63A4D" w14:textId="1AD0CDD2" w:rsidR="003D7C08" w:rsidRPr="001E0A74" w:rsidRDefault="008F208F" w:rsidP="00B36227">
      <w:pPr>
        <w:pStyle w:val="BodyText"/>
        <w:spacing w:line="240" w:lineRule="auto"/>
        <w:rPr>
          <w:color w:val="auto"/>
        </w:rPr>
      </w:pPr>
      <w:r w:rsidRPr="001E0A74">
        <w:rPr>
          <w:color w:val="auto"/>
        </w:rPr>
        <w:t>To provide continued support to small busi</w:t>
      </w:r>
      <w:r w:rsidR="00A77EA6" w:rsidRPr="001E0A74">
        <w:rPr>
          <w:color w:val="auto"/>
        </w:rPr>
        <w:t>nesses (those with an aggregate turnover of less tha</w:t>
      </w:r>
      <w:r w:rsidR="002F7B20">
        <w:rPr>
          <w:color w:val="auto"/>
        </w:rPr>
        <w:t>n</w:t>
      </w:r>
      <w:r w:rsidR="00A77EA6" w:rsidRPr="001E0A74">
        <w:rPr>
          <w:color w:val="auto"/>
        </w:rPr>
        <w:t xml:space="preserve"> $10</w:t>
      </w:r>
      <w:r w:rsidR="002F7B20">
        <w:rPr>
          <w:color w:val="auto"/>
        </w:rPr>
        <w:t xml:space="preserve"> </w:t>
      </w:r>
      <w:r w:rsidR="00A77EA6" w:rsidRPr="001E0A74">
        <w:rPr>
          <w:color w:val="auto"/>
        </w:rPr>
        <w:t>m</w:t>
      </w:r>
      <w:r w:rsidR="002F7B20">
        <w:rPr>
          <w:color w:val="auto"/>
        </w:rPr>
        <w:t>illion</w:t>
      </w:r>
      <w:r w:rsidR="00A77EA6" w:rsidRPr="001E0A74">
        <w:rPr>
          <w:color w:val="auto"/>
        </w:rPr>
        <w:t xml:space="preserve">) the </w:t>
      </w:r>
      <w:r w:rsidR="00C961BC">
        <w:rPr>
          <w:color w:val="auto"/>
        </w:rPr>
        <w:t>G</w:t>
      </w:r>
      <w:r w:rsidR="00A77EA6" w:rsidRPr="001E0A74">
        <w:rPr>
          <w:color w:val="auto"/>
        </w:rPr>
        <w:t>overnment has announced a temporary increase in the instant asset write</w:t>
      </w:r>
      <w:r w:rsidR="00524204" w:rsidRPr="001E0A74">
        <w:rPr>
          <w:color w:val="auto"/>
        </w:rPr>
        <w:t xml:space="preserve">-off threshold to $20,000. This will apply from 1 July 2023 and will continue until </w:t>
      </w:r>
      <w:r w:rsidR="003D7C08" w:rsidRPr="001E0A74">
        <w:rPr>
          <w:color w:val="auto"/>
        </w:rPr>
        <w:t>30 June 2024.</w:t>
      </w:r>
    </w:p>
    <w:p w14:paraId="2E6B8FF2" w14:textId="17F96D45" w:rsidR="003D7C08" w:rsidRPr="001E0A74" w:rsidRDefault="003D7C08" w:rsidP="00B36227">
      <w:pPr>
        <w:pStyle w:val="BodyText"/>
        <w:spacing w:line="240" w:lineRule="auto"/>
        <w:rPr>
          <w:color w:val="auto"/>
        </w:rPr>
      </w:pPr>
      <w:r w:rsidRPr="001E0A74">
        <w:rPr>
          <w:color w:val="auto"/>
        </w:rPr>
        <w:t xml:space="preserve">Importantly, the instant asset write-off applies </w:t>
      </w:r>
      <w:r w:rsidR="00B751E6" w:rsidRPr="001E0A74">
        <w:rPr>
          <w:color w:val="auto"/>
        </w:rPr>
        <w:t>per asset so small business may be able to access this opportunity on multiple occasions.</w:t>
      </w:r>
      <w:r w:rsidRPr="001E0A74">
        <w:rPr>
          <w:color w:val="auto"/>
        </w:rPr>
        <w:t xml:space="preserve"> </w:t>
      </w:r>
    </w:p>
    <w:p w14:paraId="56E1B107" w14:textId="77777777" w:rsidR="009D32B7" w:rsidRDefault="009D32B7" w:rsidP="00B36227">
      <w:pPr>
        <w:pStyle w:val="BodyText"/>
        <w:spacing w:line="240" w:lineRule="auto"/>
        <w:rPr>
          <w:color w:val="0070C0"/>
        </w:rPr>
      </w:pPr>
    </w:p>
    <w:p w14:paraId="6CE35582" w14:textId="77777777" w:rsidR="008A4760" w:rsidRPr="007B2E3D" w:rsidRDefault="008A4760" w:rsidP="00B36227">
      <w:pPr>
        <w:pStyle w:val="Header1"/>
        <w:spacing w:before="0" w:after="120" w:line="240" w:lineRule="auto"/>
        <w:rPr>
          <w:rFonts w:ascii="Arial" w:hAnsi="Arial" w:cs="Arial"/>
        </w:rPr>
      </w:pPr>
      <w:r w:rsidRPr="007B2E3D">
        <w:rPr>
          <w:rFonts w:ascii="Arial" w:hAnsi="Arial" w:cs="Arial"/>
        </w:rPr>
        <w:t xml:space="preserve">Aged Care </w:t>
      </w:r>
    </w:p>
    <w:p w14:paraId="72958C69" w14:textId="77777777" w:rsidR="00051DC7" w:rsidRPr="00DE32FD" w:rsidRDefault="00051DC7" w:rsidP="00B36227">
      <w:pPr>
        <w:pStyle w:val="BodyText"/>
        <w:spacing w:line="240" w:lineRule="auto"/>
        <w:rPr>
          <w:color w:val="auto"/>
        </w:rPr>
      </w:pPr>
      <w:r w:rsidRPr="00DE32FD">
        <w:rPr>
          <w:color w:val="auto"/>
        </w:rPr>
        <w:t>The Government has committed to spending a total of $36 billion on the aged care sector in the 2023-24 year with a focus on increased wages for aged care workers, funding to help improve the quality of care for both home care recipients and those in residential care facilities and additional funding to implement recommendations identified in the Royal Commission into Aged Care.</w:t>
      </w:r>
    </w:p>
    <w:p w14:paraId="6E389EB7" w14:textId="77777777" w:rsidR="00051DC7" w:rsidRPr="00DE32FD" w:rsidRDefault="00051DC7" w:rsidP="00B36227">
      <w:pPr>
        <w:pStyle w:val="BodyText"/>
        <w:spacing w:line="240" w:lineRule="auto"/>
        <w:rPr>
          <w:b/>
          <w:bCs/>
          <w:color w:val="auto"/>
        </w:rPr>
      </w:pPr>
      <w:r w:rsidRPr="00DE32FD">
        <w:rPr>
          <w:b/>
          <w:bCs/>
          <w:color w:val="auto"/>
        </w:rPr>
        <w:t>Wages to increase by 15%</w:t>
      </w:r>
    </w:p>
    <w:p w14:paraId="0D2DB504" w14:textId="77777777" w:rsidR="00051DC7" w:rsidRPr="00DE32FD" w:rsidRDefault="00051DC7" w:rsidP="00B36227">
      <w:pPr>
        <w:pStyle w:val="BodyText"/>
        <w:spacing w:line="240" w:lineRule="auto"/>
        <w:rPr>
          <w:color w:val="auto"/>
        </w:rPr>
      </w:pPr>
      <w:r w:rsidRPr="00DE32FD">
        <w:rPr>
          <w:color w:val="auto"/>
        </w:rPr>
        <w:t>From 30 June 2023, it is proposed that a 15% increase to award wages will be available for many aged care workers including registered nurses, enrolled nurses, assistants in nursing, personal care workers, home care workers, recreational activity officers, and some head chefs and cooks.</w:t>
      </w:r>
    </w:p>
    <w:p w14:paraId="2D860889" w14:textId="77777777" w:rsidR="00051DC7" w:rsidRPr="00DE32FD" w:rsidRDefault="00051DC7" w:rsidP="00B36227">
      <w:pPr>
        <w:pStyle w:val="BodyText"/>
        <w:spacing w:line="240" w:lineRule="auto"/>
        <w:rPr>
          <w:b/>
          <w:bCs/>
          <w:color w:val="auto"/>
        </w:rPr>
      </w:pPr>
      <w:r w:rsidRPr="00DE32FD">
        <w:rPr>
          <w:b/>
          <w:bCs/>
          <w:color w:val="auto"/>
        </w:rPr>
        <w:t>Implementation of Royal Commission initiatives</w:t>
      </w:r>
    </w:p>
    <w:p w14:paraId="0A023E73" w14:textId="77777777" w:rsidR="00051DC7" w:rsidRPr="00DE32FD" w:rsidRDefault="00051DC7" w:rsidP="00B36227">
      <w:pPr>
        <w:pStyle w:val="BodyText"/>
        <w:spacing w:line="240" w:lineRule="auto"/>
        <w:rPr>
          <w:color w:val="auto"/>
        </w:rPr>
      </w:pPr>
      <w:r w:rsidRPr="00DE32FD">
        <w:rPr>
          <w:color w:val="auto"/>
        </w:rPr>
        <w:t>Over the next 5 years, the Government will provide funding exceeding $300 million to implement recommendations from the Royal Commission into Aged Care Quality and Safety including:</w:t>
      </w:r>
    </w:p>
    <w:p w14:paraId="13226A9E" w14:textId="62173856" w:rsidR="00051DC7" w:rsidRPr="00DE32FD" w:rsidRDefault="00051DC7" w:rsidP="00B36227">
      <w:pPr>
        <w:pStyle w:val="BodyText"/>
        <w:numPr>
          <w:ilvl w:val="0"/>
          <w:numId w:val="29"/>
        </w:numPr>
        <w:spacing w:before="0" w:line="240" w:lineRule="auto"/>
        <w:rPr>
          <w:color w:val="auto"/>
        </w:rPr>
      </w:pPr>
      <w:r w:rsidRPr="00DE32FD">
        <w:rPr>
          <w:color w:val="auto"/>
        </w:rPr>
        <w:t>Enhancements to the Star Rating system to improve accountability and transparency of aged care providers,</w:t>
      </w:r>
    </w:p>
    <w:p w14:paraId="2A60E2A7" w14:textId="2FD92AA9" w:rsidR="00051DC7" w:rsidRPr="00DE32FD" w:rsidRDefault="00051DC7" w:rsidP="00B36227">
      <w:pPr>
        <w:pStyle w:val="BodyText"/>
        <w:numPr>
          <w:ilvl w:val="0"/>
          <w:numId w:val="29"/>
        </w:numPr>
        <w:spacing w:before="0" w:line="240" w:lineRule="auto"/>
        <w:rPr>
          <w:color w:val="auto"/>
        </w:rPr>
      </w:pPr>
      <w:r w:rsidRPr="00DE32FD">
        <w:rPr>
          <w:color w:val="auto"/>
        </w:rPr>
        <w:t xml:space="preserve">The development and implementation of a new, stronger Aged Care Regulatory Framework to support the new Age Care </w:t>
      </w:r>
      <w:proofErr w:type="gramStart"/>
      <w:r w:rsidRPr="00DE32FD">
        <w:rPr>
          <w:color w:val="auto"/>
        </w:rPr>
        <w:t>Act</w:t>
      </w:r>
      <w:proofErr w:type="gramEnd"/>
      <w:r w:rsidRPr="00DE32FD">
        <w:rPr>
          <w:color w:val="auto"/>
        </w:rPr>
        <w:t xml:space="preserve"> which is due to commence from 1 July 2024,</w:t>
      </w:r>
    </w:p>
    <w:p w14:paraId="61E3DD6F" w14:textId="77777777" w:rsidR="00051DC7" w:rsidRPr="00DE32FD" w:rsidRDefault="00051DC7" w:rsidP="00B36227">
      <w:pPr>
        <w:pStyle w:val="BodyText"/>
        <w:numPr>
          <w:ilvl w:val="0"/>
          <w:numId w:val="29"/>
        </w:numPr>
        <w:spacing w:before="0" w:line="240" w:lineRule="auto"/>
        <w:rPr>
          <w:color w:val="auto"/>
        </w:rPr>
      </w:pPr>
      <w:r w:rsidRPr="00DE32FD">
        <w:rPr>
          <w:color w:val="auto"/>
        </w:rPr>
        <w:t>Establishment of a national worker screening and registration scheme and the development, monitoring and enforcement of food and nutritional standards.</w:t>
      </w:r>
    </w:p>
    <w:p w14:paraId="7DB2D113" w14:textId="77777777" w:rsidR="00051DC7" w:rsidRPr="00DE32FD" w:rsidRDefault="00051DC7" w:rsidP="00B36227">
      <w:pPr>
        <w:pStyle w:val="BodyText"/>
        <w:spacing w:line="240" w:lineRule="auto"/>
        <w:rPr>
          <w:color w:val="auto"/>
        </w:rPr>
      </w:pPr>
      <w:r w:rsidRPr="00DE32FD">
        <w:rPr>
          <w:b/>
          <w:bCs/>
          <w:color w:val="auto"/>
        </w:rPr>
        <w:t xml:space="preserve">Improvements to care at </w:t>
      </w:r>
      <w:proofErr w:type="gramStart"/>
      <w:r w:rsidRPr="00DE32FD">
        <w:rPr>
          <w:b/>
          <w:bCs/>
          <w:color w:val="auto"/>
        </w:rPr>
        <w:t>home</w:t>
      </w:r>
      <w:proofErr w:type="gramEnd"/>
      <w:r w:rsidRPr="00DE32FD">
        <w:rPr>
          <w:b/>
          <w:bCs/>
          <w:color w:val="auto"/>
        </w:rPr>
        <w:t xml:space="preserve"> </w:t>
      </w:r>
    </w:p>
    <w:p w14:paraId="500BB95E" w14:textId="77777777" w:rsidR="00051DC7" w:rsidRPr="00DE32FD" w:rsidRDefault="00051DC7" w:rsidP="00B36227">
      <w:pPr>
        <w:spacing w:line="240" w:lineRule="auto"/>
      </w:pPr>
      <w:r w:rsidRPr="00DE32FD">
        <w:t>Funding has been committed to improve in-home aged care by implementing a range of initiatives including the release of an additional 9,500 Home Care Packages and the design, build and implementation of the new Support at Home Program which is proposed to commence from 1 July 2025.</w:t>
      </w:r>
    </w:p>
    <w:p w14:paraId="7E5A5557" w14:textId="77777777" w:rsidR="00261B56" w:rsidRPr="00DE32FD" w:rsidRDefault="00261B56" w:rsidP="00B36227">
      <w:pPr>
        <w:spacing w:line="240" w:lineRule="auto"/>
      </w:pPr>
    </w:p>
    <w:p w14:paraId="46FC71F4" w14:textId="40D086A3" w:rsidR="001774AB" w:rsidRPr="007B2E3D" w:rsidRDefault="001774AB" w:rsidP="00B36227">
      <w:pPr>
        <w:pStyle w:val="Header2"/>
        <w:spacing w:before="0" w:after="120" w:line="240" w:lineRule="auto"/>
        <w:rPr>
          <w:rFonts w:ascii="Arial" w:hAnsi="Arial" w:cs="Arial"/>
          <w:sz w:val="24"/>
          <w:szCs w:val="24"/>
        </w:rPr>
      </w:pPr>
      <w:r w:rsidRPr="007B2E3D">
        <w:rPr>
          <w:rFonts w:ascii="Arial" w:hAnsi="Arial" w:cs="Arial"/>
          <w:sz w:val="24"/>
          <w:szCs w:val="24"/>
        </w:rPr>
        <w:t xml:space="preserve">WELFARE </w:t>
      </w:r>
    </w:p>
    <w:p w14:paraId="47E3A2BB" w14:textId="77777777" w:rsidR="00A00783" w:rsidRPr="00DE32FD" w:rsidRDefault="00A00783" w:rsidP="00B36227">
      <w:pPr>
        <w:pStyle w:val="BodyText"/>
        <w:spacing w:line="240" w:lineRule="auto"/>
        <w:rPr>
          <w:color w:val="auto"/>
        </w:rPr>
      </w:pPr>
      <w:r w:rsidRPr="00DE32FD">
        <w:rPr>
          <w:color w:val="auto"/>
        </w:rPr>
        <w:t>Delivering cost-of-living relief was a key focus for the Government in this year’s budget including reduced energy bills, reduced health costs and increases to Rent Assistance for 1.1 million households.</w:t>
      </w:r>
    </w:p>
    <w:p w14:paraId="02E6B0EF" w14:textId="77777777" w:rsidR="00A00783" w:rsidRPr="00DE32FD" w:rsidRDefault="00A00783" w:rsidP="00B36227">
      <w:pPr>
        <w:pStyle w:val="BodyText"/>
        <w:spacing w:line="240" w:lineRule="auto"/>
        <w:rPr>
          <w:b/>
          <w:bCs/>
          <w:color w:val="auto"/>
        </w:rPr>
      </w:pPr>
      <w:r w:rsidRPr="00DE32FD">
        <w:rPr>
          <w:b/>
          <w:bCs/>
          <w:color w:val="auto"/>
        </w:rPr>
        <w:t>Energy bill relief</w:t>
      </w:r>
    </w:p>
    <w:p w14:paraId="671E81DC" w14:textId="77777777" w:rsidR="00A00783" w:rsidRPr="00DE32FD" w:rsidRDefault="00A00783" w:rsidP="00B36227">
      <w:pPr>
        <w:pStyle w:val="BodyText"/>
        <w:spacing w:line="240" w:lineRule="auto"/>
        <w:rPr>
          <w:color w:val="auto"/>
        </w:rPr>
      </w:pPr>
      <w:r w:rsidRPr="00DE32FD">
        <w:rPr>
          <w:color w:val="auto"/>
        </w:rPr>
        <w:t>Two initiatives have been announced to help reduce energy bills for eligible Australian households.</w:t>
      </w:r>
    </w:p>
    <w:p w14:paraId="1868C83E" w14:textId="77777777" w:rsidR="00A00783" w:rsidRPr="00DE32FD" w:rsidRDefault="00A00783" w:rsidP="00B36227">
      <w:pPr>
        <w:pStyle w:val="BodyText"/>
        <w:spacing w:line="240" w:lineRule="auto"/>
        <w:rPr>
          <w:color w:val="auto"/>
        </w:rPr>
      </w:pPr>
      <w:r w:rsidRPr="00DE32FD">
        <w:rPr>
          <w:color w:val="auto"/>
        </w:rPr>
        <w:t>Firstly, the Commonwealth Government in conjunction with state and territory governments will provide targeted electricity bill relief of up to $500 for eligible households. The amount that will be available will depend on which state or territory you live in.</w:t>
      </w:r>
    </w:p>
    <w:p w14:paraId="06D6AB8C" w14:textId="77777777" w:rsidR="00A00783" w:rsidRPr="00DE32FD" w:rsidRDefault="00A00783" w:rsidP="00B36227">
      <w:pPr>
        <w:pStyle w:val="BodyText"/>
        <w:spacing w:line="240" w:lineRule="auto"/>
        <w:rPr>
          <w:rFonts w:cstheme="minorHAnsi"/>
          <w:color w:val="auto"/>
          <w:szCs w:val="20"/>
        </w:rPr>
      </w:pPr>
      <w:r w:rsidRPr="00DE32FD">
        <w:rPr>
          <w:color w:val="auto"/>
        </w:rPr>
        <w:t xml:space="preserve">To </w:t>
      </w:r>
      <w:r w:rsidRPr="00DE32FD">
        <w:rPr>
          <w:rFonts w:cstheme="minorHAnsi"/>
          <w:color w:val="auto"/>
          <w:szCs w:val="20"/>
        </w:rPr>
        <w:t>be eligible for the bill relief, you will be the primary electricity account holder and you must also hold an eligible concession card or receive an eligible government payment in your specific state or territory.</w:t>
      </w:r>
    </w:p>
    <w:p w14:paraId="747FD619" w14:textId="77777777" w:rsidR="00A00783" w:rsidRPr="00DE32FD" w:rsidRDefault="00A00783" w:rsidP="00B36227">
      <w:pPr>
        <w:pStyle w:val="BodyText"/>
        <w:spacing w:line="240" w:lineRule="auto"/>
        <w:rPr>
          <w:b/>
          <w:bCs/>
          <w:color w:val="auto"/>
          <w:lang w:val="en-AU"/>
        </w:rPr>
      </w:pPr>
      <w:r w:rsidRPr="00DE32FD">
        <w:rPr>
          <w:color w:val="auto"/>
        </w:rPr>
        <w:t>The second initiative announced was the establishment of the Household Energy Upgrades Fund to support home upgrades that improve energy performance and save energy, therefore providing further reductions to energy bills.</w:t>
      </w:r>
    </w:p>
    <w:p w14:paraId="67457EC8" w14:textId="77777777" w:rsidR="00A00783" w:rsidRPr="00DE32FD" w:rsidRDefault="00A00783" w:rsidP="00B36227">
      <w:pPr>
        <w:pStyle w:val="BodyText"/>
        <w:spacing w:line="240" w:lineRule="auto"/>
        <w:rPr>
          <w:b/>
          <w:bCs/>
          <w:color w:val="auto"/>
          <w:lang w:val="en-AU"/>
        </w:rPr>
      </w:pPr>
      <w:r w:rsidRPr="00DE32FD">
        <w:rPr>
          <w:b/>
          <w:bCs/>
          <w:color w:val="auto"/>
          <w:lang w:val="en-AU"/>
        </w:rPr>
        <w:t>Reducing out-of-pocket health costs</w:t>
      </w:r>
    </w:p>
    <w:p w14:paraId="701DA8AD" w14:textId="77777777" w:rsidR="00A00783" w:rsidRPr="00DE32FD" w:rsidRDefault="00A00783" w:rsidP="00B36227">
      <w:pPr>
        <w:pStyle w:val="BodyText"/>
        <w:spacing w:line="240" w:lineRule="auto"/>
        <w:rPr>
          <w:color w:val="auto"/>
          <w:lang w:val="en-AU"/>
        </w:rPr>
      </w:pPr>
      <w:r w:rsidRPr="00DE32FD">
        <w:rPr>
          <w:color w:val="auto"/>
          <w:lang w:val="en-AU"/>
        </w:rPr>
        <w:t>From 1 July 2023, a range of measures have been announced to help reduce out-of-pocket health costs including:</w:t>
      </w:r>
    </w:p>
    <w:p w14:paraId="3CDCF5E0" w14:textId="6F01EC4D" w:rsidR="00A00783" w:rsidRPr="00DE32FD" w:rsidRDefault="00A00783" w:rsidP="00B36227">
      <w:pPr>
        <w:pStyle w:val="BodyText"/>
        <w:numPr>
          <w:ilvl w:val="0"/>
          <w:numId w:val="30"/>
        </w:numPr>
        <w:spacing w:before="0" w:line="240" w:lineRule="auto"/>
        <w:rPr>
          <w:color w:val="auto"/>
          <w:lang w:val="en-AU"/>
        </w:rPr>
      </w:pPr>
      <w:r w:rsidRPr="00DE32FD">
        <w:rPr>
          <w:color w:val="auto"/>
          <w:lang w:val="en-AU"/>
        </w:rPr>
        <w:t>Tripling incentives for doctors to provide bulk billing,</w:t>
      </w:r>
    </w:p>
    <w:p w14:paraId="03D16420" w14:textId="37D34487" w:rsidR="00A00783" w:rsidRPr="00DE32FD" w:rsidRDefault="00A00783" w:rsidP="00B36227">
      <w:pPr>
        <w:pStyle w:val="BodyText"/>
        <w:numPr>
          <w:ilvl w:val="0"/>
          <w:numId w:val="30"/>
        </w:numPr>
        <w:spacing w:before="0" w:line="240" w:lineRule="auto"/>
        <w:rPr>
          <w:color w:val="auto"/>
          <w:lang w:val="en-AU"/>
        </w:rPr>
      </w:pPr>
      <w:r w:rsidRPr="00DE32FD">
        <w:rPr>
          <w:color w:val="auto"/>
          <w:lang w:val="en-AU"/>
        </w:rPr>
        <w:t>Investing in more bulk billing Urgent Care Clinics,</w:t>
      </w:r>
    </w:p>
    <w:p w14:paraId="12FAD99F" w14:textId="3EF8C0F1" w:rsidR="00A00783" w:rsidRPr="00DE32FD" w:rsidRDefault="00A00783" w:rsidP="00B36227">
      <w:pPr>
        <w:pStyle w:val="BodyText"/>
        <w:numPr>
          <w:ilvl w:val="0"/>
          <w:numId w:val="30"/>
        </w:numPr>
        <w:spacing w:before="0" w:line="240" w:lineRule="auto"/>
        <w:rPr>
          <w:color w:val="auto"/>
        </w:rPr>
      </w:pPr>
      <w:r w:rsidRPr="00DE32FD">
        <w:rPr>
          <w:color w:val="auto"/>
          <w:lang w:val="en-AU"/>
        </w:rPr>
        <w:t xml:space="preserve">Improving </w:t>
      </w:r>
      <w:r w:rsidRPr="00DE32FD">
        <w:rPr>
          <w:color w:val="auto"/>
        </w:rPr>
        <w:t>access to medicines, vaccinations and related services delivered by pharmacies.</w:t>
      </w:r>
    </w:p>
    <w:p w14:paraId="3C7B72DE" w14:textId="77777777" w:rsidR="00A00783" w:rsidRPr="00DE32FD" w:rsidRDefault="00A00783" w:rsidP="00B36227">
      <w:pPr>
        <w:pStyle w:val="BodyText"/>
        <w:spacing w:line="240" w:lineRule="auto"/>
        <w:rPr>
          <w:color w:val="auto"/>
        </w:rPr>
      </w:pPr>
      <w:r w:rsidRPr="00DE32FD">
        <w:rPr>
          <w:color w:val="auto"/>
        </w:rPr>
        <w:t>The Government also proposes to allow 2 months’ worth of certain PBS medicines to be dispensed by pharmacies from 1 September 2023.</w:t>
      </w:r>
    </w:p>
    <w:p w14:paraId="66F27AC6" w14:textId="77777777" w:rsidR="00A00783" w:rsidRPr="00DE32FD" w:rsidRDefault="00A00783" w:rsidP="00B36227">
      <w:pPr>
        <w:pStyle w:val="BodyText"/>
        <w:spacing w:line="240" w:lineRule="auto"/>
        <w:rPr>
          <w:b/>
          <w:bCs/>
          <w:color w:val="auto"/>
          <w:lang w:val="en-AU"/>
        </w:rPr>
      </w:pPr>
      <w:r w:rsidRPr="00DE32FD">
        <w:rPr>
          <w:b/>
          <w:bCs/>
          <w:color w:val="auto"/>
          <w:lang w:val="en-AU"/>
        </w:rPr>
        <w:t xml:space="preserve">Additional support to help combat rental </w:t>
      </w:r>
      <w:proofErr w:type="gramStart"/>
      <w:r w:rsidRPr="00DE32FD">
        <w:rPr>
          <w:b/>
          <w:bCs/>
          <w:color w:val="auto"/>
          <w:lang w:val="en-AU"/>
        </w:rPr>
        <w:t>affordability</w:t>
      </w:r>
      <w:proofErr w:type="gramEnd"/>
    </w:p>
    <w:p w14:paraId="7F5CECBF" w14:textId="77777777" w:rsidR="00A00783" w:rsidRPr="00DE32FD" w:rsidRDefault="00A00783" w:rsidP="00B36227">
      <w:pPr>
        <w:pStyle w:val="BodyText"/>
        <w:spacing w:line="240" w:lineRule="auto"/>
        <w:rPr>
          <w:color w:val="auto"/>
        </w:rPr>
      </w:pPr>
      <w:r w:rsidRPr="00DE32FD">
        <w:rPr>
          <w:color w:val="auto"/>
        </w:rPr>
        <w:t>With rental prices in most Australian locations increasing rapidly over the past decade, rental affordability for many, including those on Government income support and family benefits, is a major problem.</w:t>
      </w:r>
    </w:p>
    <w:p w14:paraId="2AF34E07" w14:textId="77777777" w:rsidR="00A00783" w:rsidRPr="00DE32FD" w:rsidRDefault="00A00783" w:rsidP="00B36227">
      <w:pPr>
        <w:pStyle w:val="BodyText"/>
        <w:spacing w:line="240" w:lineRule="auto"/>
        <w:rPr>
          <w:color w:val="auto"/>
        </w:rPr>
      </w:pPr>
      <w:r w:rsidRPr="00DE32FD">
        <w:rPr>
          <w:color w:val="auto"/>
        </w:rPr>
        <w:t>To assist, the maximum rates of the Commonwealth Rent Assistance will increase by 15%. It is projected that this will support over 1 million households including veterans, pensioners, job seekers, students and those receiving family tax benefits.</w:t>
      </w:r>
    </w:p>
    <w:p w14:paraId="4612C497" w14:textId="77777777" w:rsidR="00261B56" w:rsidRPr="007B2E3D" w:rsidRDefault="00261B56" w:rsidP="00B36227">
      <w:pPr>
        <w:pStyle w:val="BodyText"/>
        <w:spacing w:line="240" w:lineRule="auto"/>
        <w:rPr>
          <w:rFonts w:ascii="Arial" w:hAnsi="Arial" w:cs="Arial"/>
          <w:lang w:val="en-AU"/>
        </w:rPr>
      </w:pPr>
    </w:p>
    <w:p w14:paraId="305018C9" w14:textId="77777777" w:rsidR="001774AB" w:rsidRPr="007B2E3D" w:rsidRDefault="001774AB" w:rsidP="00B36227">
      <w:pPr>
        <w:pStyle w:val="Header2"/>
        <w:spacing w:before="0" w:after="120" w:line="240" w:lineRule="auto"/>
        <w:rPr>
          <w:rFonts w:ascii="Arial" w:hAnsi="Arial" w:cs="Arial"/>
          <w:sz w:val="24"/>
          <w:szCs w:val="24"/>
        </w:rPr>
      </w:pPr>
      <w:r w:rsidRPr="007B2E3D">
        <w:rPr>
          <w:rFonts w:ascii="Arial" w:hAnsi="Arial" w:cs="Arial"/>
          <w:sz w:val="24"/>
          <w:szCs w:val="24"/>
        </w:rPr>
        <w:t xml:space="preserve">SOCIAL SECURITY </w:t>
      </w:r>
    </w:p>
    <w:p w14:paraId="333A36C0" w14:textId="77777777" w:rsidR="00DE32FD" w:rsidRPr="00DE32FD" w:rsidRDefault="00DE32FD" w:rsidP="00B36227">
      <w:pPr>
        <w:pStyle w:val="BodyText"/>
        <w:spacing w:line="240" w:lineRule="auto"/>
        <w:rPr>
          <w:color w:val="auto"/>
        </w:rPr>
      </w:pPr>
      <w:r w:rsidRPr="00DE32FD">
        <w:rPr>
          <w:color w:val="auto"/>
        </w:rPr>
        <w:t>Some positive news for those receiving working age payments from Centrelink with an increase to the base rate of payment confirmed.  Single parents will also be supported when eligibility rules are expanded for Parenting Payment (Single).</w:t>
      </w:r>
    </w:p>
    <w:p w14:paraId="5B533D4A" w14:textId="77777777" w:rsidR="00DE32FD" w:rsidRPr="00DE32FD" w:rsidRDefault="00DE32FD" w:rsidP="00B36227">
      <w:pPr>
        <w:pStyle w:val="BodyText"/>
        <w:spacing w:line="240" w:lineRule="auto"/>
        <w:rPr>
          <w:b/>
          <w:bCs/>
          <w:color w:val="auto"/>
        </w:rPr>
      </w:pPr>
      <w:r w:rsidRPr="00DE32FD">
        <w:rPr>
          <w:b/>
          <w:bCs/>
          <w:color w:val="auto"/>
        </w:rPr>
        <w:t xml:space="preserve">Payments to increase by $40 per </w:t>
      </w:r>
      <w:proofErr w:type="gramStart"/>
      <w:r w:rsidRPr="00DE32FD">
        <w:rPr>
          <w:b/>
          <w:bCs/>
          <w:color w:val="auto"/>
        </w:rPr>
        <w:t>fortnight</w:t>
      </w:r>
      <w:proofErr w:type="gramEnd"/>
    </w:p>
    <w:p w14:paraId="23631C0C" w14:textId="77777777" w:rsidR="00DE32FD" w:rsidRPr="00DE32FD" w:rsidRDefault="00DE32FD" w:rsidP="00B36227">
      <w:pPr>
        <w:pStyle w:val="BodyText"/>
        <w:spacing w:line="240" w:lineRule="auto"/>
        <w:rPr>
          <w:color w:val="auto"/>
        </w:rPr>
      </w:pPr>
      <w:r w:rsidRPr="00DE32FD">
        <w:rPr>
          <w:color w:val="auto"/>
        </w:rPr>
        <w:t>The Government has announced that the base rate for a range of working age payments will increase by $40 per fortnight from 20 September 2023.</w:t>
      </w:r>
    </w:p>
    <w:p w14:paraId="2C37BBDF" w14:textId="77777777" w:rsidR="00DE32FD" w:rsidRPr="00DE32FD" w:rsidRDefault="00DE32FD" w:rsidP="00B36227">
      <w:pPr>
        <w:pStyle w:val="BodyText"/>
        <w:spacing w:line="240" w:lineRule="auto"/>
        <w:rPr>
          <w:color w:val="auto"/>
        </w:rPr>
      </w:pPr>
      <w:r w:rsidRPr="00DE32FD">
        <w:rPr>
          <w:color w:val="auto"/>
        </w:rPr>
        <w:t>Payments that will benefit from the increase include:</w:t>
      </w:r>
    </w:p>
    <w:p w14:paraId="712F26BC" w14:textId="77777777" w:rsidR="00DE32FD" w:rsidRPr="00DE32FD" w:rsidRDefault="00DE32FD" w:rsidP="00B36227">
      <w:pPr>
        <w:pStyle w:val="BodyText"/>
        <w:numPr>
          <w:ilvl w:val="0"/>
          <w:numId w:val="31"/>
        </w:numPr>
        <w:spacing w:before="0" w:line="240" w:lineRule="auto"/>
        <w:rPr>
          <w:color w:val="auto"/>
        </w:rPr>
      </w:pPr>
      <w:proofErr w:type="spellStart"/>
      <w:r w:rsidRPr="00DE32FD">
        <w:rPr>
          <w:color w:val="auto"/>
        </w:rPr>
        <w:t>JobSeeker</w:t>
      </w:r>
      <w:proofErr w:type="spellEnd"/>
      <w:r w:rsidRPr="00DE32FD">
        <w:rPr>
          <w:color w:val="auto"/>
        </w:rPr>
        <w:t xml:space="preserve"> Payment</w:t>
      </w:r>
    </w:p>
    <w:p w14:paraId="38EDFA80" w14:textId="77777777" w:rsidR="00DE32FD" w:rsidRPr="00DE32FD" w:rsidRDefault="00DE32FD" w:rsidP="00B36227">
      <w:pPr>
        <w:pStyle w:val="BodyText"/>
        <w:numPr>
          <w:ilvl w:val="0"/>
          <w:numId w:val="31"/>
        </w:numPr>
        <w:spacing w:before="0" w:line="240" w:lineRule="auto"/>
        <w:rPr>
          <w:color w:val="auto"/>
        </w:rPr>
      </w:pPr>
      <w:r w:rsidRPr="00DE32FD">
        <w:rPr>
          <w:color w:val="auto"/>
        </w:rPr>
        <w:t>Youth Allowance</w:t>
      </w:r>
    </w:p>
    <w:p w14:paraId="1CAFD240" w14:textId="77777777" w:rsidR="00DE32FD" w:rsidRPr="00DE32FD" w:rsidRDefault="00DE32FD" w:rsidP="00B36227">
      <w:pPr>
        <w:pStyle w:val="BodyText"/>
        <w:numPr>
          <w:ilvl w:val="0"/>
          <w:numId w:val="31"/>
        </w:numPr>
        <w:spacing w:before="0" w:line="240" w:lineRule="auto"/>
        <w:rPr>
          <w:color w:val="auto"/>
        </w:rPr>
      </w:pPr>
      <w:r w:rsidRPr="00DE32FD">
        <w:rPr>
          <w:color w:val="auto"/>
        </w:rPr>
        <w:t>Parenting Payment (Partnered)</w:t>
      </w:r>
    </w:p>
    <w:p w14:paraId="20219B3F" w14:textId="77777777" w:rsidR="00DE32FD" w:rsidRPr="00DE32FD" w:rsidRDefault="00DE32FD" w:rsidP="00B36227">
      <w:pPr>
        <w:pStyle w:val="BodyText"/>
        <w:numPr>
          <w:ilvl w:val="0"/>
          <w:numId w:val="31"/>
        </w:numPr>
        <w:spacing w:before="0" w:line="240" w:lineRule="auto"/>
        <w:rPr>
          <w:color w:val="auto"/>
        </w:rPr>
      </w:pPr>
      <w:proofErr w:type="spellStart"/>
      <w:r w:rsidRPr="00DE32FD">
        <w:rPr>
          <w:color w:val="auto"/>
        </w:rPr>
        <w:t>Austudy</w:t>
      </w:r>
      <w:proofErr w:type="spellEnd"/>
    </w:p>
    <w:p w14:paraId="444D89FE" w14:textId="77777777" w:rsidR="00DE32FD" w:rsidRPr="00DE32FD" w:rsidRDefault="00DE32FD" w:rsidP="00B36227">
      <w:pPr>
        <w:pStyle w:val="BodyText"/>
        <w:numPr>
          <w:ilvl w:val="0"/>
          <w:numId w:val="31"/>
        </w:numPr>
        <w:spacing w:before="0" w:line="240" w:lineRule="auto"/>
        <w:rPr>
          <w:color w:val="auto"/>
        </w:rPr>
      </w:pPr>
      <w:r w:rsidRPr="00DE32FD">
        <w:rPr>
          <w:color w:val="auto"/>
        </w:rPr>
        <w:t>ABSTUDY</w:t>
      </w:r>
    </w:p>
    <w:p w14:paraId="6DB3A166" w14:textId="77777777" w:rsidR="00DE32FD" w:rsidRPr="00DE32FD" w:rsidRDefault="00DE32FD" w:rsidP="00B36227">
      <w:pPr>
        <w:pStyle w:val="BodyText"/>
        <w:numPr>
          <w:ilvl w:val="0"/>
          <w:numId w:val="31"/>
        </w:numPr>
        <w:spacing w:before="0" w:line="240" w:lineRule="auto"/>
        <w:rPr>
          <w:color w:val="auto"/>
        </w:rPr>
      </w:pPr>
      <w:r w:rsidRPr="00DE32FD">
        <w:rPr>
          <w:color w:val="auto"/>
        </w:rPr>
        <w:t>Disability Support Pension (Youth), and</w:t>
      </w:r>
    </w:p>
    <w:p w14:paraId="1F43B4E0" w14:textId="77777777" w:rsidR="00DE32FD" w:rsidRPr="00DE32FD" w:rsidRDefault="00DE32FD" w:rsidP="00B36227">
      <w:pPr>
        <w:pStyle w:val="BodyText"/>
        <w:numPr>
          <w:ilvl w:val="0"/>
          <w:numId w:val="31"/>
        </w:numPr>
        <w:spacing w:before="0" w:line="240" w:lineRule="auto"/>
        <w:rPr>
          <w:color w:val="auto"/>
        </w:rPr>
      </w:pPr>
      <w:r w:rsidRPr="00DE32FD">
        <w:rPr>
          <w:color w:val="auto"/>
        </w:rPr>
        <w:t>Special Benefit.</w:t>
      </w:r>
    </w:p>
    <w:p w14:paraId="037EC1BB" w14:textId="77777777" w:rsidR="00DE32FD" w:rsidRPr="00DE32FD" w:rsidRDefault="00DE32FD" w:rsidP="00B36227">
      <w:pPr>
        <w:pStyle w:val="BodyText"/>
        <w:spacing w:line="240" w:lineRule="auto"/>
        <w:rPr>
          <w:b/>
          <w:bCs/>
          <w:color w:val="auto"/>
        </w:rPr>
      </w:pPr>
      <w:r w:rsidRPr="00DE32FD">
        <w:rPr>
          <w:b/>
          <w:bCs/>
          <w:color w:val="auto"/>
        </w:rPr>
        <w:t xml:space="preserve">Older </w:t>
      </w:r>
      <w:proofErr w:type="spellStart"/>
      <w:r w:rsidRPr="00DE32FD">
        <w:rPr>
          <w:b/>
          <w:bCs/>
          <w:color w:val="auto"/>
        </w:rPr>
        <w:t>JobSeekers</w:t>
      </w:r>
      <w:proofErr w:type="spellEnd"/>
    </w:p>
    <w:p w14:paraId="30DAD9EF" w14:textId="77777777" w:rsidR="00DE32FD" w:rsidRPr="00DE32FD" w:rsidRDefault="00DE32FD" w:rsidP="00B36227">
      <w:pPr>
        <w:pStyle w:val="BodyText"/>
        <w:spacing w:line="240" w:lineRule="auto"/>
        <w:rPr>
          <w:color w:val="auto"/>
        </w:rPr>
      </w:pPr>
      <w:r w:rsidRPr="00DE32FD">
        <w:rPr>
          <w:color w:val="auto"/>
        </w:rPr>
        <w:t xml:space="preserve">To recognise the barriers that older job seekers often face when looking for work such as age discrimination, the Government is expanding eligibility for the existing higher rate of </w:t>
      </w:r>
      <w:proofErr w:type="spellStart"/>
      <w:r w:rsidRPr="00DE32FD">
        <w:rPr>
          <w:color w:val="auto"/>
        </w:rPr>
        <w:t>JobSeeker</w:t>
      </w:r>
      <w:proofErr w:type="spellEnd"/>
      <w:r w:rsidRPr="00DE32FD">
        <w:rPr>
          <w:color w:val="auto"/>
        </w:rPr>
        <w:t xml:space="preserve"> to recipients 55 and over who </w:t>
      </w:r>
      <w:r w:rsidRPr="00DE32FD">
        <w:rPr>
          <w:color w:val="auto"/>
        </w:rPr>
        <w:lastRenderedPageBreak/>
        <w:t xml:space="preserve">have received the payment for 9 or more continuous months. This higher rate (which is $92.10 per fortnight more than the standard </w:t>
      </w:r>
      <w:proofErr w:type="spellStart"/>
      <w:r w:rsidRPr="00DE32FD">
        <w:rPr>
          <w:color w:val="auto"/>
        </w:rPr>
        <w:t>JobSeeker</w:t>
      </w:r>
      <w:proofErr w:type="spellEnd"/>
      <w:r w:rsidRPr="00DE32FD">
        <w:rPr>
          <w:color w:val="auto"/>
        </w:rPr>
        <w:t xml:space="preserve"> rate) is currently available to those 60 and over. </w:t>
      </w:r>
    </w:p>
    <w:p w14:paraId="56E765BD" w14:textId="77777777" w:rsidR="00DE32FD" w:rsidRPr="00DE32FD" w:rsidRDefault="00DE32FD" w:rsidP="00B36227">
      <w:pPr>
        <w:pStyle w:val="BodyText"/>
        <w:spacing w:line="240" w:lineRule="auto"/>
        <w:rPr>
          <w:color w:val="auto"/>
        </w:rPr>
      </w:pPr>
      <w:r w:rsidRPr="00DE32FD">
        <w:rPr>
          <w:color w:val="auto"/>
        </w:rPr>
        <w:t>It is estimated that this change in age will help around 52,000 eligible recipients.</w:t>
      </w:r>
    </w:p>
    <w:p w14:paraId="0636DB2E" w14:textId="77777777" w:rsidR="00DE32FD" w:rsidRPr="00DE32FD" w:rsidRDefault="00DE32FD" w:rsidP="00B36227">
      <w:pPr>
        <w:pStyle w:val="BodyText"/>
        <w:spacing w:line="240" w:lineRule="auto"/>
        <w:rPr>
          <w:b/>
          <w:bCs/>
          <w:color w:val="auto"/>
        </w:rPr>
      </w:pPr>
      <w:r w:rsidRPr="00DE32FD">
        <w:rPr>
          <w:b/>
          <w:bCs/>
          <w:color w:val="auto"/>
        </w:rPr>
        <w:t xml:space="preserve">Eligibility to Parenting Payment for single parents </w:t>
      </w:r>
      <w:proofErr w:type="gramStart"/>
      <w:r w:rsidRPr="00DE32FD">
        <w:rPr>
          <w:b/>
          <w:bCs/>
          <w:color w:val="auto"/>
        </w:rPr>
        <w:t>expanded</w:t>
      </w:r>
      <w:proofErr w:type="gramEnd"/>
    </w:p>
    <w:p w14:paraId="01832D2F" w14:textId="77777777" w:rsidR="00DE32FD" w:rsidRPr="00DE32FD" w:rsidRDefault="00DE32FD" w:rsidP="00B36227">
      <w:pPr>
        <w:pStyle w:val="BodyText"/>
        <w:spacing w:line="240" w:lineRule="auto"/>
        <w:rPr>
          <w:color w:val="auto"/>
        </w:rPr>
      </w:pPr>
      <w:r w:rsidRPr="00DE32FD">
        <w:rPr>
          <w:color w:val="auto"/>
        </w:rPr>
        <w:t xml:space="preserve">From September 2023, eligible single parents, 91% of whom are women, will receive Parenting Payment (Single) until their youngest child turns 14. Currently, these parents are required to move to </w:t>
      </w:r>
      <w:proofErr w:type="spellStart"/>
      <w:r w:rsidRPr="00DE32FD">
        <w:rPr>
          <w:color w:val="auto"/>
        </w:rPr>
        <w:t>JobSeeker</w:t>
      </w:r>
      <w:proofErr w:type="spellEnd"/>
      <w:r w:rsidRPr="00DE32FD">
        <w:rPr>
          <w:color w:val="auto"/>
        </w:rPr>
        <w:t xml:space="preserve"> when the youngest child turns 8.</w:t>
      </w:r>
    </w:p>
    <w:p w14:paraId="206923C4" w14:textId="77777777" w:rsidR="00DE32FD" w:rsidRPr="00DE32FD" w:rsidRDefault="00DE32FD" w:rsidP="00B36227">
      <w:pPr>
        <w:pStyle w:val="BodyText"/>
        <w:spacing w:line="240" w:lineRule="auto"/>
        <w:rPr>
          <w:color w:val="auto"/>
        </w:rPr>
      </w:pPr>
      <w:r w:rsidRPr="00DE32FD">
        <w:rPr>
          <w:color w:val="auto"/>
        </w:rPr>
        <w:t xml:space="preserve">The current base rate of Parenting Payment (Single) is $922.10 per fortnight, compared to the </w:t>
      </w:r>
      <w:proofErr w:type="spellStart"/>
      <w:r w:rsidRPr="00DE32FD">
        <w:rPr>
          <w:color w:val="auto"/>
        </w:rPr>
        <w:t>JobSeeker</w:t>
      </w:r>
      <w:proofErr w:type="spellEnd"/>
      <w:r w:rsidRPr="00DE32FD">
        <w:rPr>
          <w:color w:val="auto"/>
        </w:rPr>
        <w:t xml:space="preserve"> Payment base rate of $745.20 per fortnight. It is hoped that the improved support for single parents will provide wellbeing benefits particularly for single mothers, who are overwhelmingly the recipients of this payment, and their children.</w:t>
      </w:r>
    </w:p>
    <w:p w14:paraId="56D9A61F" w14:textId="76C6DD22" w:rsidR="00E11055" w:rsidRDefault="00E11055" w:rsidP="00B36227">
      <w:pPr>
        <w:pStyle w:val="BodyText"/>
        <w:spacing w:line="240" w:lineRule="auto"/>
        <w:rPr>
          <w:color w:val="FF0000"/>
        </w:rPr>
      </w:pPr>
    </w:p>
    <w:p w14:paraId="2E34FAAD" w14:textId="2353C406" w:rsidR="00202458" w:rsidRPr="003C0295" w:rsidRDefault="00202458" w:rsidP="00B36227">
      <w:pPr>
        <w:pStyle w:val="NoSpacing"/>
      </w:pPr>
      <w:r>
        <w:t xml:space="preserve">The release date of this document is </w:t>
      </w:r>
      <w:r w:rsidR="00E11055">
        <w:t>10 May 2023</w:t>
      </w:r>
      <w:r>
        <w:t xml:space="preserve">. The content of this document is of a general nature only and does not consider your personal objectives, financial situation and/or needs. Accordingly, the information should not be used, relied upon, or treated as a substitute for specific financial advice. While all care has been taken in the preparation of this material, no warranty is given in respect of the information provided and accordingly neither Centrepoint Alliance Limited nor its employees or agents shall be liable on any grounds whatsoever with respect to decisions or actions taken </w:t>
      </w:r>
      <w:proofErr w:type="gramStart"/>
      <w:r>
        <w:t>as a result of</w:t>
      </w:r>
      <w:proofErr w:type="gramEnd"/>
      <w:r>
        <w:t xml:space="preserve"> you acting upon such information.</w:t>
      </w:r>
    </w:p>
    <w:sectPr w:rsidR="00202458" w:rsidRPr="003C0295" w:rsidSect="00465E3E">
      <w:footerReference w:type="default" r:id="rId11"/>
      <w:headerReference w:type="first" r:id="rId12"/>
      <w:footerReference w:type="first" r:id="rId13"/>
      <w:pgSz w:w="11906" w:h="16838" w:code="9"/>
      <w:pgMar w:top="992" w:right="1021" w:bottom="1418" w:left="1021" w:header="284" w:footer="794" w:gutter="0"/>
      <w:cols w:space="708" w:equalWidth="0">
        <w:col w:w="986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3235" w14:textId="77777777" w:rsidR="00067C2D" w:rsidRDefault="00067C2D" w:rsidP="008F222C">
      <w:r>
        <w:separator/>
      </w:r>
    </w:p>
  </w:endnote>
  <w:endnote w:type="continuationSeparator" w:id="0">
    <w:p w14:paraId="662C77EB" w14:textId="77777777" w:rsidR="00067C2D" w:rsidRDefault="00067C2D" w:rsidP="008F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E5C8" w14:textId="074C6121" w:rsidR="004338F6" w:rsidRDefault="004338F6" w:rsidP="004338F6">
    <w:pPr>
      <w:pStyle w:val="Default"/>
    </w:pPr>
    <w:r>
      <w:rPr>
        <w:color w:val="1ED2E6" w:themeColor="accent1"/>
      </w:rPr>
      <w:t xml:space="preserve"> </w:t>
    </w:r>
  </w:p>
  <w:p w14:paraId="517729FD" w14:textId="636121DE" w:rsidR="00EC3D49" w:rsidRDefault="004338F6" w:rsidP="004338F6">
    <w:pPr>
      <w:pStyle w:val="Footer"/>
    </w:pPr>
    <w:r>
      <w:t xml:space="preserve"> </w:t>
    </w:r>
    <w:r>
      <w:rPr>
        <w:b/>
        <w:bCs/>
        <w:color w:val="1ED2E6"/>
        <w:szCs w:val="16"/>
      </w:rPr>
      <w:t xml:space="preserve">CENTREPOINT </w:t>
    </w:r>
    <w:r w:rsidR="00062F87">
      <w:rPr>
        <w:b/>
        <w:bCs/>
        <w:color w:val="1ED2E6"/>
        <w:szCs w:val="16"/>
      </w:rPr>
      <w:t xml:space="preserve">ALLIANCE </w:t>
    </w:r>
    <w:r w:rsidR="00062F87">
      <w:rPr>
        <w:color w:val="5B5D61"/>
        <w:szCs w:val="16"/>
      </w:rPr>
      <w:t>Federal</w:t>
    </w:r>
    <w:r>
      <w:rPr>
        <w:color w:val="5B5D61"/>
        <w:szCs w:val="16"/>
      </w:rPr>
      <w:t xml:space="preserve"> Budget Summary </w:t>
    </w:r>
    <w:r w:rsidR="00180D02">
      <w:rPr>
        <w:color w:val="5B5D61"/>
        <w:szCs w:val="16"/>
      </w:rPr>
      <w:t xml:space="preserve">– </w:t>
    </w:r>
    <w:r w:rsidR="00314D18">
      <w:rPr>
        <w:color w:val="5B5D61"/>
        <w:szCs w:val="16"/>
      </w:rPr>
      <w:t>May 2023</w:t>
    </w:r>
    <w:proofErr w:type="gramStart"/>
    <w:r>
      <w:rPr>
        <w:color w:val="5B5D61"/>
        <w:szCs w:val="16"/>
      </w:rPr>
      <w:tab/>
      <w:t xml:space="preserve">  </w:t>
    </w:r>
    <w:r>
      <w:rPr>
        <w:color w:val="5B5D61"/>
        <w:szCs w:val="16"/>
      </w:rPr>
      <w:tab/>
    </w:r>
    <w:proofErr w:type="gramEnd"/>
    <w:r>
      <w:rPr>
        <w:color w:val="5B5D61"/>
        <w:szCs w:val="16"/>
      </w:rPr>
      <w:t xml:space="preserve">       </w:t>
    </w:r>
    <w:r w:rsidRPr="004338F6">
      <w:rPr>
        <w:color w:val="5B5D61"/>
        <w:szCs w:val="16"/>
      </w:rPr>
      <w:fldChar w:fldCharType="begin"/>
    </w:r>
    <w:r w:rsidRPr="004338F6">
      <w:rPr>
        <w:color w:val="5B5D61"/>
        <w:szCs w:val="16"/>
      </w:rPr>
      <w:instrText xml:space="preserve"> PAGE   \* MERGEFORMAT </w:instrText>
    </w:r>
    <w:r w:rsidRPr="004338F6">
      <w:rPr>
        <w:color w:val="5B5D61"/>
        <w:szCs w:val="16"/>
      </w:rPr>
      <w:fldChar w:fldCharType="separate"/>
    </w:r>
    <w:r w:rsidRPr="004338F6">
      <w:rPr>
        <w:noProof/>
        <w:color w:val="5B5D61"/>
        <w:szCs w:val="16"/>
      </w:rPr>
      <w:t>1</w:t>
    </w:r>
    <w:r w:rsidRPr="004338F6">
      <w:rPr>
        <w:noProof/>
        <w:color w:val="5B5D61"/>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044A" w14:textId="536ABBD0" w:rsidR="004338F6" w:rsidRDefault="008037F3">
    <w:pPr>
      <w:pStyle w:val="Footer"/>
    </w:pPr>
    <w:r>
      <w:rPr>
        <w:b/>
        <w:bCs/>
        <w:color w:val="1ED2E6"/>
        <w:szCs w:val="16"/>
      </w:rPr>
      <w:t xml:space="preserve">CENTREPOINT </w:t>
    </w:r>
    <w:r w:rsidR="00062F87">
      <w:rPr>
        <w:b/>
        <w:bCs/>
        <w:color w:val="1ED2E6"/>
        <w:szCs w:val="16"/>
      </w:rPr>
      <w:t xml:space="preserve">ALLIANCE </w:t>
    </w:r>
    <w:r w:rsidR="00062F87">
      <w:rPr>
        <w:color w:val="5B5D61"/>
        <w:szCs w:val="16"/>
      </w:rPr>
      <w:t>Federal</w:t>
    </w:r>
    <w:r>
      <w:rPr>
        <w:color w:val="5B5D61"/>
        <w:szCs w:val="16"/>
      </w:rPr>
      <w:t xml:space="preserve"> Budget Summary </w:t>
    </w:r>
    <w:r w:rsidR="00EE544E">
      <w:rPr>
        <w:color w:val="5B5D61"/>
        <w:szCs w:val="16"/>
      </w:rPr>
      <w:t xml:space="preserve">– </w:t>
    </w:r>
    <w:r w:rsidR="009A47EF">
      <w:rPr>
        <w:color w:val="5B5D61"/>
        <w:szCs w:val="16"/>
      </w:rPr>
      <w:t>May 2023</w:t>
    </w:r>
    <w:proofErr w:type="gramStart"/>
    <w:r>
      <w:rPr>
        <w:color w:val="5B5D61"/>
        <w:szCs w:val="16"/>
      </w:rPr>
      <w:tab/>
      <w:t xml:space="preserve">  </w:t>
    </w:r>
    <w:r>
      <w:rPr>
        <w:color w:val="5B5D61"/>
        <w:szCs w:val="16"/>
      </w:rPr>
      <w:tab/>
    </w:r>
    <w:proofErr w:type="gramEnd"/>
    <w:r>
      <w:rPr>
        <w:color w:val="5B5D61"/>
        <w:szCs w:val="16"/>
      </w:rPr>
      <w:t xml:space="preserve">       </w:t>
    </w:r>
    <w:r w:rsidRPr="004338F6">
      <w:rPr>
        <w:color w:val="5B5D61"/>
        <w:szCs w:val="16"/>
      </w:rPr>
      <w:fldChar w:fldCharType="begin"/>
    </w:r>
    <w:r w:rsidRPr="004338F6">
      <w:rPr>
        <w:color w:val="5B5D61"/>
        <w:szCs w:val="16"/>
      </w:rPr>
      <w:instrText xml:space="preserve"> PAGE   \* MERGEFORMAT </w:instrText>
    </w:r>
    <w:r w:rsidRPr="004338F6">
      <w:rPr>
        <w:color w:val="5B5D61"/>
        <w:szCs w:val="16"/>
      </w:rPr>
      <w:fldChar w:fldCharType="separate"/>
    </w:r>
    <w:r>
      <w:rPr>
        <w:color w:val="5B5D61"/>
        <w:szCs w:val="16"/>
      </w:rPr>
      <w:t>2</w:t>
    </w:r>
    <w:r w:rsidRPr="004338F6">
      <w:rPr>
        <w:noProof/>
        <w:color w:val="5B5D6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AF4D6" w14:textId="77777777" w:rsidR="00067C2D" w:rsidRDefault="00067C2D" w:rsidP="008F222C">
      <w:r>
        <w:separator/>
      </w:r>
    </w:p>
  </w:footnote>
  <w:footnote w:type="continuationSeparator" w:id="0">
    <w:p w14:paraId="3C2D1596" w14:textId="77777777" w:rsidR="00067C2D" w:rsidRDefault="00067C2D" w:rsidP="008F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6E4" w14:textId="77777777" w:rsidR="00B522C0" w:rsidRDefault="00B522C0">
    <w:pPr>
      <w:pStyle w:val="Header"/>
      <w:rPr>
        <w:noProof/>
      </w:rPr>
    </w:pPr>
  </w:p>
  <w:p w14:paraId="2B29EC14" w14:textId="77777777" w:rsidR="00B522C0" w:rsidRDefault="00B522C0">
    <w:pPr>
      <w:pStyle w:val="Header"/>
      <w:rPr>
        <w:noProof/>
      </w:rPr>
    </w:pPr>
  </w:p>
  <w:p w14:paraId="2144394E" w14:textId="2C0A88AC" w:rsidR="00B522C0" w:rsidRDefault="0090718D">
    <w:pPr>
      <w:pStyle w:val="Header"/>
    </w:pPr>
    <w:r>
      <w:rPr>
        <w:noProof/>
      </w:rPr>
      <w:drawing>
        <wp:anchor distT="0" distB="0" distL="114300" distR="114300" simplePos="0" relativeHeight="251662336" behindDoc="1" locked="1" layoutInCell="1" allowOverlap="1" wp14:anchorId="52D0CA41" wp14:editId="2F159B64">
          <wp:simplePos x="0" y="0"/>
          <wp:positionH relativeFrom="page">
            <wp:align>right</wp:align>
          </wp:positionH>
          <wp:positionV relativeFrom="page">
            <wp:align>top</wp:align>
          </wp:positionV>
          <wp:extent cx="7557770" cy="1890395"/>
          <wp:effectExtent l="0" t="0" r="508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rotWithShape="1">
                  <a:blip r:embed="rId1">
                    <a:alphaModFix amt="60000"/>
                  </a:blip>
                  <a:srcRect l="126" t="16841" r="-126" b="12787"/>
                  <a:stretch/>
                </pic:blipFill>
                <pic:spPr bwMode="auto">
                  <a:xfrm>
                    <a:off x="0" y="0"/>
                    <a:ext cx="7557770" cy="18903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7E6C8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700CD52C"/>
    <w:lvl w:ilvl="0">
      <w:start w:val="1"/>
      <w:numFmt w:val="lowerLetter"/>
      <w:pStyle w:val="ListNumber2"/>
      <w:lvlText w:val="%1."/>
      <w:lvlJc w:val="left"/>
      <w:pPr>
        <w:tabs>
          <w:tab w:val="num" w:pos="643"/>
        </w:tabs>
        <w:ind w:left="643" w:hanging="360"/>
      </w:pPr>
      <w:rPr>
        <w:rFonts w:hint="default"/>
      </w:rPr>
    </w:lvl>
  </w:abstractNum>
  <w:abstractNum w:abstractNumId="2" w15:restartNumberingAfterBreak="0">
    <w:nsid w:val="FFFFFF88"/>
    <w:multiLevelType w:val="singleLevel"/>
    <w:tmpl w:val="D3A051F4"/>
    <w:lvl w:ilvl="0">
      <w:start w:val="1"/>
      <w:numFmt w:val="decimal"/>
      <w:pStyle w:val="ListNumber"/>
      <w:lvlText w:val="%1."/>
      <w:lvlJc w:val="left"/>
      <w:pPr>
        <w:tabs>
          <w:tab w:val="num" w:pos="360"/>
        </w:tabs>
        <w:ind w:left="360" w:hanging="360"/>
      </w:pPr>
    </w:lvl>
  </w:abstractNum>
  <w:abstractNum w:abstractNumId="3" w15:restartNumberingAfterBreak="0">
    <w:nsid w:val="017A589C"/>
    <w:multiLevelType w:val="hybridMultilevel"/>
    <w:tmpl w:val="33BC3D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C561DB"/>
    <w:multiLevelType w:val="hybridMultilevel"/>
    <w:tmpl w:val="97A2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DB24C9"/>
    <w:multiLevelType w:val="hybridMultilevel"/>
    <w:tmpl w:val="CF4C3EC2"/>
    <w:lvl w:ilvl="0" w:tplc="FFFFFFF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F6423E"/>
    <w:multiLevelType w:val="hybridMultilevel"/>
    <w:tmpl w:val="F3E2BF7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B303B4"/>
    <w:multiLevelType w:val="hybridMultilevel"/>
    <w:tmpl w:val="74E05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F97498"/>
    <w:multiLevelType w:val="hybridMultilevel"/>
    <w:tmpl w:val="732A9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038D5"/>
    <w:multiLevelType w:val="multilevel"/>
    <w:tmpl w:val="BD4ECEF8"/>
    <w:lvl w:ilvl="0">
      <w:start w:val="1"/>
      <w:numFmt w:val="bullet"/>
      <w:pStyle w:val="ListBullet"/>
      <w:lvlText w:val=""/>
      <w:lvlJc w:val="left"/>
      <w:pPr>
        <w:ind w:left="227" w:hanging="227"/>
      </w:pPr>
      <w:rPr>
        <w:rFonts w:ascii="Symbol" w:hAnsi="Symbol" w:hint="default"/>
      </w:rPr>
    </w:lvl>
    <w:lvl w:ilvl="1">
      <w:start w:val="1"/>
      <w:numFmt w:val="bullet"/>
      <w:pStyle w:val="ListBullet2"/>
      <w:lvlText w:val="–"/>
      <w:lvlJc w:val="left"/>
      <w:pPr>
        <w:ind w:left="454" w:hanging="227"/>
      </w:pPr>
      <w:rPr>
        <w:rFonts w:ascii="Arial" w:hAnsi="Arial" w:hint="default"/>
      </w:rPr>
    </w:lvl>
    <w:lvl w:ilvl="2">
      <w:start w:val="1"/>
      <w:numFmt w:val="bullet"/>
      <w:pStyle w:val="ListBullet3"/>
      <w:lvlText w:val="–"/>
      <w:lvlJc w:val="left"/>
      <w:pPr>
        <w:ind w:left="680" w:hanging="226"/>
      </w:pPr>
      <w:rPr>
        <w:rFonts w:ascii="Arial" w:hAnsi="Arial"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5A97C20"/>
    <w:multiLevelType w:val="multilevel"/>
    <w:tmpl w:val="9546248C"/>
    <w:lvl w:ilvl="0">
      <w:start w:val="1"/>
      <w:numFmt w:val="upperLetter"/>
      <w:pStyle w:val="AppendixHeading1"/>
      <w:lvlText w:val="%1."/>
      <w:lvlJc w:val="left"/>
      <w:pPr>
        <w:ind w:left="425" w:hanging="425"/>
      </w:pPr>
      <w:rPr>
        <w:rFonts w:hint="default"/>
      </w:rPr>
    </w:lvl>
    <w:lvl w:ilvl="1">
      <w:start w:val="1"/>
      <w:numFmt w:val="decimal"/>
      <w:pStyle w:val="AppendixHeading2"/>
      <w:lvlText w:val="%1.%2"/>
      <w:lvlJc w:val="left"/>
      <w:pPr>
        <w:ind w:left="567" w:hanging="567"/>
      </w:pPr>
      <w:rPr>
        <w:rFonts w:hint="default"/>
      </w:rPr>
    </w:lvl>
    <w:lvl w:ilvl="2">
      <w:start w:val="1"/>
      <w:numFmt w:val="decimal"/>
      <w:pStyle w:val="AppendixHeading3"/>
      <w:lvlText w:val="%1.%2.%3"/>
      <w:lvlJc w:val="left"/>
      <w:pPr>
        <w:ind w:left="709" w:hanging="709"/>
      </w:pPr>
      <w:rPr>
        <w:rFonts w:hint="default"/>
      </w:rPr>
    </w:lvl>
    <w:lvl w:ilvl="3">
      <w:start w:val="1"/>
      <w:numFmt w:val="decimal"/>
      <w:pStyle w:val="AppendixHeading4"/>
      <w:lvlText w:val="%1.%2.%3.%4"/>
      <w:lvlJc w:val="left"/>
      <w:pPr>
        <w:ind w:left="851" w:hanging="851"/>
      </w:pPr>
      <w:rPr>
        <w:rFonts w:hint="default"/>
      </w:rPr>
    </w:lvl>
    <w:lvl w:ilvl="4">
      <w:start w:val="1"/>
      <w:numFmt w:val="decimal"/>
      <w:pStyle w:val="AppendixHeading5"/>
      <w:lvlText w:val="%1.%2.%3.%4.%5"/>
      <w:lvlJc w:val="left"/>
      <w:pPr>
        <w:ind w:left="992" w:hanging="992"/>
      </w:pPr>
      <w:rPr>
        <w:rFonts w:hint="default"/>
      </w:rPr>
    </w:lvl>
    <w:lvl w:ilvl="5">
      <w:start w:val="1"/>
      <w:numFmt w:val="decimal"/>
      <w:pStyle w:val="AppendixHeading6"/>
      <w:lvlText w:val="%1.%2.%3.%4.%5.%6"/>
      <w:lvlJc w:val="left"/>
      <w:pPr>
        <w:ind w:left="1134" w:hanging="1134"/>
      </w:pPr>
      <w:rPr>
        <w:rFonts w:hint="default"/>
      </w:rPr>
    </w:lvl>
    <w:lvl w:ilvl="6">
      <w:start w:val="1"/>
      <w:numFmt w:val="lowerLetter"/>
      <w:pStyle w:val="AppendixPara1"/>
      <w:lvlText w:val="%7."/>
      <w:lvlJc w:val="left"/>
      <w:pPr>
        <w:ind w:left="227" w:hanging="227"/>
      </w:pPr>
      <w:rPr>
        <w:rFonts w:hint="default"/>
      </w:rPr>
    </w:lvl>
    <w:lvl w:ilvl="7">
      <w:start w:val="1"/>
      <w:numFmt w:val="lowerRoman"/>
      <w:pStyle w:val="AppendixPara2"/>
      <w:lvlText w:val="%8."/>
      <w:lvlJc w:val="left"/>
      <w:pPr>
        <w:ind w:left="454" w:hanging="227"/>
      </w:pPr>
      <w:rPr>
        <w:rFonts w:hint="default"/>
      </w:rPr>
    </w:lvl>
    <w:lvl w:ilvl="8">
      <w:start w:val="1"/>
      <w:numFmt w:val="upperLetter"/>
      <w:pStyle w:val="AppendixPara3"/>
      <w:lvlText w:val="%9."/>
      <w:lvlJc w:val="left"/>
      <w:pPr>
        <w:ind w:left="680" w:hanging="226"/>
      </w:pPr>
      <w:rPr>
        <w:rFonts w:hint="default"/>
      </w:rPr>
    </w:lvl>
  </w:abstractNum>
  <w:abstractNum w:abstractNumId="11" w15:restartNumberingAfterBreak="0">
    <w:nsid w:val="262106DC"/>
    <w:multiLevelType w:val="hybridMultilevel"/>
    <w:tmpl w:val="96F4B2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2" w15:restartNumberingAfterBreak="0">
    <w:nsid w:val="27757706"/>
    <w:multiLevelType w:val="hybridMultilevel"/>
    <w:tmpl w:val="08B0A2AC"/>
    <w:lvl w:ilvl="0" w:tplc="99F847E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D3C80"/>
    <w:multiLevelType w:val="hybridMultilevel"/>
    <w:tmpl w:val="840E7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00E5D"/>
    <w:multiLevelType w:val="hybridMultilevel"/>
    <w:tmpl w:val="4CC8E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A25E48"/>
    <w:multiLevelType w:val="hybridMultilevel"/>
    <w:tmpl w:val="66AE7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A0149"/>
    <w:multiLevelType w:val="multilevel"/>
    <w:tmpl w:val="CFE63616"/>
    <w:lvl w:ilvl="0">
      <w:start w:val="1"/>
      <w:numFmt w:val="none"/>
      <w:pStyle w:val="Tablenotesorsource"/>
      <w:suff w:val="nothing"/>
      <w:lvlText w:val="%1"/>
      <w:lvlJc w:val="left"/>
      <w:pPr>
        <w:ind w:left="0" w:firstLine="0"/>
      </w:pPr>
      <w:rPr>
        <w:rFonts w:hint="default"/>
      </w:rPr>
    </w:lvl>
    <w:lvl w:ilvl="1">
      <w:start w:val="1"/>
      <w:numFmt w:val="decimal"/>
      <w:pStyle w:val="Tablenotenumbers"/>
      <w:lvlText w:val="%2."/>
      <w:lvlJc w:val="left"/>
      <w:pPr>
        <w:ind w:left="357" w:hanging="357"/>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20870BF"/>
    <w:multiLevelType w:val="hybridMultilevel"/>
    <w:tmpl w:val="3AC63F04"/>
    <w:lvl w:ilvl="0" w:tplc="F7306CA2">
      <w:start w:val="1"/>
      <w:numFmt w:val="bullet"/>
      <w:lvlText w:val=""/>
      <w:lvlJc w:val="left"/>
      <w:pPr>
        <w:ind w:left="720" w:hanging="360"/>
      </w:pPr>
      <w:rPr>
        <w:rFonts w:ascii="Symbol" w:hAnsi="Symbol" w:hint="default"/>
      </w:rPr>
    </w:lvl>
    <w:lvl w:ilvl="1" w:tplc="EED062AA">
      <w:start w:val="1"/>
      <w:numFmt w:val="bullet"/>
      <w:lvlText w:val="o"/>
      <w:lvlJc w:val="left"/>
      <w:pPr>
        <w:ind w:left="1440" w:hanging="360"/>
      </w:pPr>
      <w:rPr>
        <w:rFonts w:ascii="Courier New" w:hAnsi="Courier New" w:hint="default"/>
      </w:rPr>
    </w:lvl>
    <w:lvl w:ilvl="2" w:tplc="816A5B98">
      <w:start w:val="1"/>
      <w:numFmt w:val="bullet"/>
      <w:lvlText w:val=""/>
      <w:lvlJc w:val="left"/>
      <w:pPr>
        <w:ind w:left="2160" w:hanging="360"/>
      </w:pPr>
      <w:rPr>
        <w:rFonts w:ascii="Wingdings" w:hAnsi="Wingdings" w:hint="default"/>
      </w:rPr>
    </w:lvl>
    <w:lvl w:ilvl="3" w:tplc="47143BAE">
      <w:start w:val="1"/>
      <w:numFmt w:val="bullet"/>
      <w:lvlText w:val=""/>
      <w:lvlJc w:val="left"/>
      <w:pPr>
        <w:ind w:left="2880" w:hanging="360"/>
      </w:pPr>
      <w:rPr>
        <w:rFonts w:ascii="Symbol" w:hAnsi="Symbol" w:hint="default"/>
      </w:rPr>
    </w:lvl>
    <w:lvl w:ilvl="4" w:tplc="F70AFC5E">
      <w:start w:val="1"/>
      <w:numFmt w:val="bullet"/>
      <w:lvlText w:val="o"/>
      <w:lvlJc w:val="left"/>
      <w:pPr>
        <w:ind w:left="3600" w:hanging="360"/>
      </w:pPr>
      <w:rPr>
        <w:rFonts w:ascii="Courier New" w:hAnsi="Courier New" w:hint="default"/>
      </w:rPr>
    </w:lvl>
    <w:lvl w:ilvl="5" w:tplc="6E40F532">
      <w:start w:val="1"/>
      <w:numFmt w:val="bullet"/>
      <w:lvlText w:val=""/>
      <w:lvlJc w:val="left"/>
      <w:pPr>
        <w:ind w:left="4320" w:hanging="360"/>
      </w:pPr>
      <w:rPr>
        <w:rFonts w:ascii="Wingdings" w:hAnsi="Wingdings" w:hint="default"/>
      </w:rPr>
    </w:lvl>
    <w:lvl w:ilvl="6" w:tplc="1F44ED2A">
      <w:start w:val="1"/>
      <w:numFmt w:val="bullet"/>
      <w:lvlText w:val=""/>
      <w:lvlJc w:val="left"/>
      <w:pPr>
        <w:ind w:left="5040" w:hanging="360"/>
      </w:pPr>
      <w:rPr>
        <w:rFonts w:ascii="Symbol" w:hAnsi="Symbol" w:hint="default"/>
      </w:rPr>
    </w:lvl>
    <w:lvl w:ilvl="7" w:tplc="2D8CC50A">
      <w:start w:val="1"/>
      <w:numFmt w:val="bullet"/>
      <w:lvlText w:val="o"/>
      <w:lvlJc w:val="left"/>
      <w:pPr>
        <w:ind w:left="5760" w:hanging="360"/>
      </w:pPr>
      <w:rPr>
        <w:rFonts w:ascii="Courier New" w:hAnsi="Courier New" w:hint="default"/>
      </w:rPr>
    </w:lvl>
    <w:lvl w:ilvl="8" w:tplc="9F8AFE92">
      <w:start w:val="1"/>
      <w:numFmt w:val="bullet"/>
      <w:lvlText w:val=""/>
      <w:lvlJc w:val="left"/>
      <w:pPr>
        <w:ind w:left="6480" w:hanging="360"/>
      </w:pPr>
      <w:rPr>
        <w:rFonts w:ascii="Wingdings" w:hAnsi="Wingdings" w:hint="default"/>
      </w:rPr>
    </w:lvl>
  </w:abstractNum>
  <w:abstractNum w:abstractNumId="18" w15:restartNumberingAfterBreak="0">
    <w:nsid w:val="42B9019E"/>
    <w:multiLevelType w:val="hybridMultilevel"/>
    <w:tmpl w:val="4E103AE2"/>
    <w:lvl w:ilvl="0" w:tplc="7A9ADC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C0DF1"/>
    <w:multiLevelType w:val="hybridMultilevel"/>
    <w:tmpl w:val="10B2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AD1957"/>
    <w:multiLevelType w:val="hybridMultilevel"/>
    <w:tmpl w:val="8C1E049E"/>
    <w:lvl w:ilvl="0" w:tplc="7C148732">
      <w:start w:val="1"/>
      <w:numFmt w:val="decimal"/>
      <w:lvlText w:val="%1."/>
      <w:lvlJc w:val="left"/>
      <w:pPr>
        <w:ind w:left="720" w:hanging="360"/>
      </w:pPr>
    </w:lvl>
    <w:lvl w:ilvl="1" w:tplc="19F06FB0">
      <w:start w:val="1"/>
      <w:numFmt w:val="lowerLetter"/>
      <w:lvlText w:val="%2."/>
      <w:lvlJc w:val="left"/>
      <w:pPr>
        <w:ind w:left="1440" w:hanging="360"/>
      </w:pPr>
    </w:lvl>
    <w:lvl w:ilvl="2" w:tplc="4DEA59CC">
      <w:start w:val="1"/>
      <w:numFmt w:val="lowerRoman"/>
      <w:lvlText w:val="%3."/>
      <w:lvlJc w:val="right"/>
      <w:pPr>
        <w:ind w:left="2160" w:hanging="180"/>
      </w:pPr>
    </w:lvl>
    <w:lvl w:ilvl="3" w:tplc="38B6F48E">
      <w:start w:val="1"/>
      <w:numFmt w:val="decimal"/>
      <w:lvlText w:val="%4."/>
      <w:lvlJc w:val="left"/>
      <w:pPr>
        <w:ind w:left="2880" w:hanging="360"/>
      </w:pPr>
    </w:lvl>
    <w:lvl w:ilvl="4" w:tplc="95488A30">
      <w:start w:val="1"/>
      <w:numFmt w:val="lowerLetter"/>
      <w:lvlText w:val="%5."/>
      <w:lvlJc w:val="left"/>
      <w:pPr>
        <w:ind w:left="3600" w:hanging="360"/>
      </w:pPr>
    </w:lvl>
    <w:lvl w:ilvl="5" w:tplc="ED50C12C">
      <w:start w:val="1"/>
      <w:numFmt w:val="lowerRoman"/>
      <w:lvlText w:val="%6."/>
      <w:lvlJc w:val="right"/>
      <w:pPr>
        <w:ind w:left="4320" w:hanging="180"/>
      </w:pPr>
    </w:lvl>
    <w:lvl w:ilvl="6" w:tplc="31A026FE">
      <w:start w:val="1"/>
      <w:numFmt w:val="decimal"/>
      <w:lvlText w:val="%7."/>
      <w:lvlJc w:val="left"/>
      <w:pPr>
        <w:ind w:left="5040" w:hanging="360"/>
      </w:pPr>
    </w:lvl>
    <w:lvl w:ilvl="7" w:tplc="5A4ED17E">
      <w:start w:val="1"/>
      <w:numFmt w:val="lowerLetter"/>
      <w:lvlText w:val="%8."/>
      <w:lvlJc w:val="left"/>
      <w:pPr>
        <w:ind w:left="5760" w:hanging="360"/>
      </w:pPr>
    </w:lvl>
    <w:lvl w:ilvl="8" w:tplc="4D645E46">
      <w:start w:val="1"/>
      <w:numFmt w:val="lowerRoman"/>
      <w:lvlText w:val="%9."/>
      <w:lvlJc w:val="right"/>
      <w:pPr>
        <w:ind w:left="6480" w:hanging="180"/>
      </w:pPr>
    </w:lvl>
  </w:abstractNum>
  <w:abstractNum w:abstractNumId="21" w15:restartNumberingAfterBreak="0">
    <w:nsid w:val="62203940"/>
    <w:multiLevelType w:val="hybridMultilevel"/>
    <w:tmpl w:val="526A1420"/>
    <w:lvl w:ilvl="0" w:tplc="FFFFFFFF">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2" w15:restartNumberingAfterBreak="0">
    <w:nsid w:val="63766D67"/>
    <w:multiLevelType w:val="hybridMultilevel"/>
    <w:tmpl w:val="C556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AB6E7A"/>
    <w:multiLevelType w:val="hybridMultilevel"/>
    <w:tmpl w:val="1808411E"/>
    <w:lvl w:ilvl="0" w:tplc="9DB26426">
      <w:start w:val="1"/>
      <w:numFmt w:val="decimal"/>
      <w:lvlText w:val="%1."/>
      <w:lvlJc w:val="left"/>
      <w:pPr>
        <w:ind w:left="720" w:hanging="360"/>
      </w:pPr>
    </w:lvl>
    <w:lvl w:ilvl="1" w:tplc="7DF8F0B0">
      <w:start w:val="1"/>
      <w:numFmt w:val="lowerLetter"/>
      <w:lvlText w:val="%2."/>
      <w:lvlJc w:val="left"/>
      <w:pPr>
        <w:ind w:left="1440" w:hanging="360"/>
      </w:pPr>
    </w:lvl>
    <w:lvl w:ilvl="2" w:tplc="3F7AAC32">
      <w:start w:val="1"/>
      <w:numFmt w:val="lowerRoman"/>
      <w:lvlText w:val="%3."/>
      <w:lvlJc w:val="right"/>
      <w:pPr>
        <w:ind w:left="2160" w:hanging="180"/>
      </w:pPr>
    </w:lvl>
    <w:lvl w:ilvl="3" w:tplc="64D4700C">
      <w:start w:val="1"/>
      <w:numFmt w:val="decimal"/>
      <w:lvlText w:val="%4."/>
      <w:lvlJc w:val="left"/>
      <w:pPr>
        <w:ind w:left="2880" w:hanging="360"/>
      </w:pPr>
    </w:lvl>
    <w:lvl w:ilvl="4" w:tplc="D8DCED44">
      <w:start w:val="1"/>
      <w:numFmt w:val="lowerLetter"/>
      <w:lvlText w:val="%5."/>
      <w:lvlJc w:val="left"/>
      <w:pPr>
        <w:ind w:left="3600" w:hanging="360"/>
      </w:pPr>
    </w:lvl>
    <w:lvl w:ilvl="5" w:tplc="FBF0CD02">
      <w:start w:val="1"/>
      <w:numFmt w:val="lowerRoman"/>
      <w:lvlText w:val="%6."/>
      <w:lvlJc w:val="right"/>
      <w:pPr>
        <w:ind w:left="4320" w:hanging="180"/>
      </w:pPr>
    </w:lvl>
    <w:lvl w:ilvl="6" w:tplc="5ACA6C1E">
      <w:start w:val="1"/>
      <w:numFmt w:val="decimal"/>
      <w:lvlText w:val="%7."/>
      <w:lvlJc w:val="left"/>
      <w:pPr>
        <w:ind w:left="5040" w:hanging="360"/>
      </w:pPr>
    </w:lvl>
    <w:lvl w:ilvl="7" w:tplc="4F6A3010">
      <w:start w:val="1"/>
      <w:numFmt w:val="lowerLetter"/>
      <w:lvlText w:val="%8."/>
      <w:lvlJc w:val="left"/>
      <w:pPr>
        <w:ind w:left="5760" w:hanging="360"/>
      </w:pPr>
    </w:lvl>
    <w:lvl w:ilvl="8" w:tplc="54C4661C">
      <w:start w:val="1"/>
      <w:numFmt w:val="lowerRoman"/>
      <w:lvlText w:val="%9."/>
      <w:lvlJc w:val="right"/>
      <w:pPr>
        <w:ind w:left="6480" w:hanging="180"/>
      </w:pPr>
    </w:lvl>
  </w:abstractNum>
  <w:abstractNum w:abstractNumId="24" w15:restartNumberingAfterBreak="0">
    <w:nsid w:val="67EB6C58"/>
    <w:multiLevelType w:val="hybridMultilevel"/>
    <w:tmpl w:val="559CB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E25DCF"/>
    <w:multiLevelType w:val="hybridMultilevel"/>
    <w:tmpl w:val="1054C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2B64AB"/>
    <w:multiLevelType w:val="hybridMultilevel"/>
    <w:tmpl w:val="90BAA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27D9E"/>
    <w:multiLevelType w:val="hybridMultilevel"/>
    <w:tmpl w:val="F6385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66BDB"/>
    <w:multiLevelType w:val="hybridMultilevel"/>
    <w:tmpl w:val="FC527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047E28"/>
    <w:multiLevelType w:val="multilevel"/>
    <w:tmpl w:val="6C323E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lowerLetter"/>
      <w:pStyle w:val="Subpara1"/>
      <w:lvlText w:val="%7."/>
      <w:lvlJc w:val="left"/>
      <w:pPr>
        <w:ind w:left="227" w:hanging="227"/>
      </w:pPr>
      <w:rPr>
        <w:rFonts w:hint="default"/>
      </w:rPr>
    </w:lvl>
    <w:lvl w:ilvl="7">
      <w:start w:val="1"/>
      <w:numFmt w:val="lowerRoman"/>
      <w:pStyle w:val="Subpara2"/>
      <w:lvlText w:val="%8."/>
      <w:lvlJc w:val="left"/>
      <w:pPr>
        <w:ind w:left="454" w:hanging="227"/>
      </w:pPr>
      <w:rPr>
        <w:rFonts w:hint="default"/>
      </w:rPr>
    </w:lvl>
    <w:lvl w:ilvl="8">
      <w:start w:val="1"/>
      <w:numFmt w:val="upperLetter"/>
      <w:pStyle w:val="Subpara3"/>
      <w:lvlText w:val="%9."/>
      <w:lvlJc w:val="left"/>
      <w:pPr>
        <w:ind w:left="680" w:hanging="226"/>
      </w:pPr>
      <w:rPr>
        <w:rFonts w:hint="default"/>
      </w:rPr>
    </w:lvl>
  </w:abstractNum>
  <w:abstractNum w:abstractNumId="30" w15:restartNumberingAfterBreak="0">
    <w:nsid w:val="7FF41966"/>
    <w:multiLevelType w:val="hybridMultilevel"/>
    <w:tmpl w:val="25407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6285784">
    <w:abstractNumId w:val="17"/>
  </w:num>
  <w:num w:numId="2" w16cid:durableId="983434786">
    <w:abstractNumId w:val="23"/>
  </w:num>
  <w:num w:numId="3" w16cid:durableId="2091849835">
    <w:abstractNumId w:val="20"/>
  </w:num>
  <w:num w:numId="4" w16cid:durableId="691689253">
    <w:abstractNumId w:val="10"/>
  </w:num>
  <w:num w:numId="5" w16cid:durableId="1732147408">
    <w:abstractNumId w:val="9"/>
  </w:num>
  <w:num w:numId="6" w16cid:durableId="1467430922">
    <w:abstractNumId w:val="2"/>
  </w:num>
  <w:num w:numId="7" w16cid:durableId="949748950">
    <w:abstractNumId w:val="1"/>
  </w:num>
  <w:num w:numId="8" w16cid:durableId="1267687475">
    <w:abstractNumId w:val="0"/>
  </w:num>
  <w:num w:numId="9" w16cid:durableId="505632931">
    <w:abstractNumId w:val="29"/>
  </w:num>
  <w:num w:numId="10" w16cid:durableId="1682506743">
    <w:abstractNumId w:val="16"/>
  </w:num>
  <w:num w:numId="11" w16cid:durableId="169832908">
    <w:abstractNumId w:val="5"/>
  </w:num>
  <w:num w:numId="12" w16cid:durableId="709455284">
    <w:abstractNumId w:val="21"/>
  </w:num>
  <w:num w:numId="13" w16cid:durableId="1105614927">
    <w:abstractNumId w:val="19"/>
  </w:num>
  <w:num w:numId="14" w16cid:durableId="2023239669">
    <w:abstractNumId w:val="15"/>
  </w:num>
  <w:num w:numId="15" w16cid:durableId="1021124497">
    <w:abstractNumId w:val="28"/>
  </w:num>
  <w:num w:numId="16" w16cid:durableId="1436318637">
    <w:abstractNumId w:val="6"/>
  </w:num>
  <w:num w:numId="17" w16cid:durableId="2000108412">
    <w:abstractNumId w:val="25"/>
  </w:num>
  <w:num w:numId="18" w16cid:durableId="656810660">
    <w:abstractNumId w:val="18"/>
  </w:num>
  <w:num w:numId="19" w16cid:durableId="1709840065">
    <w:abstractNumId w:val="7"/>
  </w:num>
  <w:num w:numId="20" w16cid:durableId="1408531483">
    <w:abstractNumId w:val="24"/>
  </w:num>
  <w:num w:numId="21" w16cid:durableId="468283407">
    <w:abstractNumId w:val="11"/>
  </w:num>
  <w:num w:numId="22" w16cid:durableId="514004180">
    <w:abstractNumId w:val="12"/>
  </w:num>
  <w:num w:numId="23" w16cid:durableId="277105943">
    <w:abstractNumId w:val="14"/>
  </w:num>
  <w:num w:numId="24" w16cid:durableId="206339369">
    <w:abstractNumId w:val="26"/>
  </w:num>
  <w:num w:numId="25" w16cid:durableId="345983590">
    <w:abstractNumId w:val="3"/>
  </w:num>
  <w:num w:numId="26" w16cid:durableId="2083675645">
    <w:abstractNumId w:val="27"/>
  </w:num>
  <w:num w:numId="27" w16cid:durableId="414782729">
    <w:abstractNumId w:val="13"/>
  </w:num>
  <w:num w:numId="28" w16cid:durableId="2091074086">
    <w:abstractNumId w:val="22"/>
  </w:num>
  <w:num w:numId="29" w16cid:durableId="141118342">
    <w:abstractNumId w:val="4"/>
  </w:num>
  <w:num w:numId="30" w16cid:durableId="1092897882">
    <w:abstractNumId w:val="30"/>
  </w:num>
  <w:num w:numId="31" w16cid:durableId="157033868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95"/>
    <w:rsid w:val="00000296"/>
    <w:rsid w:val="00000E0A"/>
    <w:rsid w:val="00006E52"/>
    <w:rsid w:val="0001301B"/>
    <w:rsid w:val="00014BB0"/>
    <w:rsid w:val="00020280"/>
    <w:rsid w:val="00026794"/>
    <w:rsid w:val="00031AA9"/>
    <w:rsid w:val="00031ED6"/>
    <w:rsid w:val="00032629"/>
    <w:rsid w:val="00034937"/>
    <w:rsid w:val="00037694"/>
    <w:rsid w:val="00037912"/>
    <w:rsid w:val="00041E5E"/>
    <w:rsid w:val="000466A7"/>
    <w:rsid w:val="000477FE"/>
    <w:rsid w:val="00050913"/>
    <w:rsid w:val="0005143B"/>
    <w:rsid w:val="00051DC7"/>
    <w:rsid w:val="00053AF0"/>
    <w:rsid w:val="00054E7B"/>
    <w:rsid w:val="00062F87"/>
    <w:rsid w:val="00067C2D"/>
    <w:rsid w:val="0007083F"/>
    <w:rsid w:val="00071D96"/>
    <w:rsid w:val="00073925"/>
    <w:rsid w:val="00077F7D"/>
    <w:rsid w:val="00077FE0"/>
    <w:rsid w:val="0008454D"/>
    <w:rsid w:val="0009222C"/>
    <w:rsid w:val="00092563"/>
    <w:rsid w:val="00094C40"/>
    <w:rsid w:val="00095F85"/>
    <w:rsid w:val="000A091F"/>
    <w:rsid w:val="000A12A0"/>
    <w:rsid w:val="000A3C87"/>
    <w:rsid w:val="000A4069"/>
    <w:rsid w:val="000A4B17"/>
    <w:rsid w:val="000A556A"/>
    <w:rsid w:val="000A678B"/>
    <w:rsid w:val="000A7827"/>
    <w:rsid w:val="000A79F3"/>
    <w:rsid w:val="000B2B44"/>
    <w:rsid w:val="000B2F57"/>
    <w:rsid w:val="000B66FF"/>
    <w:rsid w:val="000B678A"/>
    <w:rsid w:val="000C04DC"/>
    <w:rsid w:val="000C4A8C"/>
    <w:rsid w:val="000C7A3E"/>
    <w:rsid w:val="000D17D7"/>
    <w:rsid w:val="000D6691"/>
    <w:rsid w:val="000D6879"/>
    <w:rsid w:val="000D6CDE"/>
    <w:rsid w:val="000D7492"/>
    <w:rsid w:val="000E3286"/>
    <w:rsid w:val="000E6C62"/>
    <w:rsid w:val="000E7C0C"/>
    <w:rsid w:val="000F14FB"/>
    <w:rsid w:val="000F2B80"/>
    <w:rsid w:val="000F4DE0"/>
    <w:rsid w:val="000F68A5"/>
    <w:rsid w:val="000F771A"/>
    <w:rsid w:val="001038A5"/>
    <w:rsid w:val="00107D9D"/>
    <w:rsid w:val="00112025"/>
    <w:rsid w:val="00114CDC"/>
    <w:rsid w:val="00121F25"/>
    <w:rsid w:val="00126C62"/>
    <w:rsid w:val="00127B18"/>
    <w:rsid w:val="00132F8F"/>
    <w:rsid w:val="00136106"/>
    <w:rsid w:val="00137DE9"/>
    <w:rsid w:val="00141C74"/>
    <w:rsid w:val="001427B7"/>
    <w:rsid w:val="00146064"/>
    <w:rsid w:val="001542FD"/>
    <w:rsid w:val="00157202"/>
    <w:rsid w:val="00160113"/>
    <w:rsid w:val="00160E3B"/>
    <w:rsid w:val="00170A38"/>
    <w:rsid w:val="001774AB"/>
    <w:rsid w:val="00180D02"/>
    <w:rsid w:val="001812F5"/>
    <w:rsid w:val="001854CF"/>
    <w:rsid w:val="00185832"/>
    <w:rsid w:val="00186370"/>
    <w:rsid w:val="00186793"/>
    <w:rsid w:val="00193992"/>
    <w:rsid w:val="001A0682"/>
    <w:rsid w:val="001A07D4"/>
    <w:rsid w:val="001A1B31"/>
    <w:rsid w:val="001A4DB0"/>
    <w:rsid w:val="001A55E7"/>
    <w:rsid w:val="001B2529"/>
    <w:rsid w:val="001B3F68"/>
    <w:rsid w:val="001B40C4"/>
    <w:rsid w:val="001B6B0C"/>
    <w:rsid w:val="001C0948"/>
    <w:rsid w:val="001C25B9"/>
    <w:rsid w:val="001C2C77"/>
    <w:rsid w:val="001C3C4A"/>
    <w:rsid w:val="001D01EC"/>
    <w:rsid w:val="001D136C"/>
    <w:rsid w:val="001D3703"/>
    <w:rsid w:val="001E0A74"/>
    <w:rsid w:val="001E1920"/>
    <w:rsid w:val="001E1E31"/>
    <w:rsid w:val="001E4462"/>
    <w:rsid w:val="001E55E2"/>
    <w:rsid w:val="001E746C"/>
    <w:rsid w:val="001E75D6"/>
    <w:rsid w:val="001E7B42"/>
    <w:rsid w:val="001F4D3A"/>
    <w:rsid w:val="001F5FE4"/>
    <w:rsid w:val="0020172A"/>
    <w:rsid w:val="00202458"/>
    <w:rsid w:val="002041EB"/>
    <w:rsid w:val="002079C3"/>
    <w:rsid w:val="00213964"/>
    <w:rsid w:val="00217435"/>
    <w:rsid w:val="00220542"/>
    <w:rsid w:val="002211A3"/>
    <w:rsid w:val="002229FF"/>
    <w:rsid w:val="00227D85"/>
    <w:rsid w:val="00234406"/>
    <w:rsid w:val="002344C5"/>
    <w:rsid w:val="0023644E"/>
    <w:rsid w:val="00240669"/>
    <w:rsid w:val="00240743"/>
    <w:rsid w:val="00241542"/>
    <w:rsid w:val="002467C7"/>
    <w:rsid w:val="0024796A"/>
    <w:rsid w:val="0025003C"/>
    <w:rsid w:val="00253DF2"/>
    <w:rsid w:val="002574EF"/>
    <w:rsid w:val="00261B56"/>
    <w:rsid w:val="00264A9E"/>
    <w:rsid w:val="00264B00"/>
    <w:rsid w:val="0026691F"/>
    <w:rsid w:val="00266A25"/>
    <w:rsid w:val="0027063E"/>
    <w:rsid w:val="00271CE8"/>
    <w:rsid w:val="00284CA3"/>
    <w:rsid w:val="00285615"/>
    <w:rsid w:val="00286D4C"/>
    <w:rsid w:val="00291733"/>
    <w:rsid w:val="00291C92"/>
    <w:rsid w:val="00292E5C"/>
    <w:rsid w:val="00294FAA"/>
    <w:rsid w:val="002A13DC"/>
    <w:rsid w:val="002A34C1"/>
    <w:rsid w:val="002A5AF4"/>
    <w:rsid w:val="002A6386"/>
    <w:rsid w:val="002A699A"/>
    <w:rsid w:val="002B3116"/>
    <w:rsid w:val="002B5E02"/>
    <w:rsid w:val="002C4178"/>
    <w:rsid w:val="002C75E4"/>
    <w:rsid w:val="002D050C"/>
    <w:rsid w:val="002D1523"/>
    <w:rsid w:val="002D3258"/>
    <w:rsid w:val="002D443C"/>
    <w:rsid w:val="002D5135"/>
    <w:rsid w:val="002D5528"/>
    <w:rsid w:val="002D63C5"/>
    <w:rsid w:val="002D7B7D"/>
    <w:rsid w:val="002E32CA"/>
    <w:rsid w:val="002E6C51"/>
    <w:rsid w:val="002F7382"/>
    <w:rsid w:val="002F7B20"/>
    <w:rsid w:val="003004EB"/>
    <w:rsid w:val="0030111B"/>
    <w:rsid w:val="003012E3"/>
    <w:rsid w:val="003030C7"/>
    <w:rsid w:val="003046BD"/>
    <w:rsid w:val="003058F2"/>
    <w:rsid w:val="003071B7"/>
    <w:rsid w:val="003101AB"/>
    <w:rsid w:val="00313EC8"/>
    <w:rsid w:val="00314642"/>
    <w:rsid w:val="00314D18"/>
    <w:rsid w:val="003210FD"/>
    <w:rsid w:val="0032142D"/>
    <w:rsid w:val="00321C3A"/>
    <w:rsid w:val="00322CC0"/>
    <w:rsid w:val="0032442F"/>
    <w:rsid w:val="003244A7"/>
    <w:rsid w:val="003315F1"/>
    <w:rsid w:val="00331696"/>
    <w:rsid w:val="00332043"/>
    <w:rsid w:val="0033256A"/>
    <w:rsid w:val="003326C0"/>
    <w:rsid w:val="00334C3A"/>
    <w:rsid w:val="00344D8E"/>
    <w:rsid w:val="0035079A"/>
    <w:rsid w:val="00353F3F"/>
    <w:rsid w:val="00355389"/>
    <w:rsid w:val="00362211"/>
    <w:rsid w:val="00363700"/>
    <w:rsid w:val="0036652A"/>
    <w:rsid w:val="00367626"/>
    <w:rsid w:val="0037024E"/>
    <w:rsid w:val="003778F5"/>
    <w:rsid w:val="003815CF"/>
    <w:rsid w:val="00391609"/>
    <w:rsid w:val="00391D78"/>
    <w:rsid w:val="00393197"/>
    <w:rsid w:val="00393CEC"/>
    <w:rsid w:val="00394914"/>
    <w:rsid w:val="0039684D"/>
    <w:rsid w:val="003B0931"/>
    <w:rsid w:val="003B6AA9"/>
    <w:rsid w:val="003B7E57"/>
    <w:rsid w:val="003C0295"/>
    <w:rsid w:val="003C5D34"/>
    <w:rsid w:val="003C6AD8"/>
    <w:rsid w:val="003D1F0F"/>
    <w:rsid w:val="003D5EB0"/>
    <w:rsid w:val="003D7C08"/>
    <w:rsid w:val="003F253D"/>
    <w:rsid w:val="003F460A"/>
    <w:rsid w:val="00404D60"/>
    <w:rsid w:val="00406797"/>
    <w:rsid w:val="004112FB"/>
    <w:rsid w:val="00412140"/>
    <w:rsid w:val="00421595"/>
    <w:rsid w:val="004256D6"/>
    <w:rsid w:val="0042742C"/>
    <w:rsid w:val="004338C9"/>
    <w:rsid w:val="004338F6"/>
    <w:rsid w:val="00433BD5"/>
    <w:rsid w:val="004354ED"/>
    <w:rsid w:val="0043690D"/>
    <w:rsid w:val="00440D8D"/>
    <w:rsid w:val="00441E66"/>
    <w:rsid w:val="00442843"/>
    <w:rsid w:val="00443CB5"/>
    <w:rsid w:val="00450FAB"/>
    <w:rsid w:val="00451F56"/>
    <w:rsid w:val="00452DDF"/>
    <w:rsid w:val="004572D9"/>
    <w:rsid w:val="00460AC5"/>
    <w:rsid w:val="00461405"/>
    <w:rsid w:val="00463F54"/>
    <w:rsid w:val="00464245"/>
    <w:rsid w:val="00465E3E"/>
    <w:rsid w:val="004812A3"/>
    <w:rsid w:val="004817AD"/>
    <w:rsid w:val="00481EC4"/>
    <w:rsid w:val="00485B56"/>
    <w:rsid w:val="00492766"/>
    <w:rsid w:val="0049439E"/>
    <w:rsid w:val="00494E1C"/>
    <w:rsid w:val="0049690C"/>
    <w:rsid w:val="00496B7A"/>
    <w:rsid w:val="004A23EB"/>
    <w:rsid w:val="004A61A1"/>
    <w:rsid w:val="004A7ADE"/>
    <w:rsid w:val="004B29A3"/>
    <w:rsid w:val="004B4B77"/>
    <w:rsid w:val="004C7584"/>
    <w:rsid w:val="004C7A6F"/>
    <w:rsid w:val="004D004D"/>
    <w:rsid w:val="004D0316"/>
    <w:rsid w:val="004D291F"/>
    <w:rsid w:val="004D4847"/>
    <w:rsid w:val="004E0F56"/>
    <w:rsid w:val="004E533B"/>
    <w:rsid w:val="004E6571"/>
    <w:rsid w:val="004F3B66"/>
    <w:rsid w:val="004F41E9"/>
    <w:rsid w:val="004F7721"/>
    <w:rsid w:val="00504722"/>
    <w:rsid w:val="00505AF9"/>
    <w:rsid w:val="00506D16"/>
    <w:rsid w:val="00514801"/>
    <w:rsid w:val="005154FB"/>
    <w:rsid w:val="00515FE1"/>
    <w:rsid w:val="00516BF2"/>
    <w:rsid w:val="00520FFC"/>
    <w:rsid w:val="0052142D"/>
    <w:rsid w:val="00524204"/>
    <w:rsid w:val="00524CBA"/>
    <w:rsid w:val="005276CB"/>
    <w:rsid w:val="00533C7E"/>
    <w:rsid w:val="00537C55"/>
    <w:rsid w:val="00542056"/>
    <w:rsid w:val="00544EB4"/>
    <w:rsid w:val="0055143F"/>
    <w:rsid w:val="0055272C"/>
    <w:rsid w:val="005601BB"/>
    <w:rsid w:val="00562BFC"/>
    <w:rsid w:val="00563039"/>
    <w:rsid w:val="00565807"/>
    <w:rsid w:val="00567195"/>
    <w:rsid w:val="00570AF4"/>
    <w:rsid w:val="005716DB"/>
    <w:rsid w:val="005724B0"/>
    <w:rsid w:val="005765C0"/>
    <w:rsid w:val="00577C11"/>
    <w:rsid w:val="00590992"/>
    <w:rsid w:val="00591434"/>
    <w:rsid w:val="00593A3B"/>
    <w:rsid w:val="005945C5"/>
    <w:rsid w:val="00594E9D"/>
    <w:rsid w:val="00596AAB"/>
    <w:rsid w:val="005A02E8"/>
    <w:rsid w:val="005A5D2B"/>
    <w:rsid w:val="005B0A78"/>
    <w:rsid w:val="005B21B5"/>
    <w:rsid w:val="005B5B1B"/>
    <w:rsid w:val="005B7B54"/>
    <w:rsid w:val="005C3ED9"/>
    <w:rsid w:val="005C498A"/>
    <w:rsid w:val="005D073E"/>
    <w:rsid w:val="005D1D14"/>
    <w:rsid w:val="005D3223"/>
    <w:rsid w:val="005D3DF8"/>
    <w:rsid w:val="005D3F01"/>
    <w:rsid w:val="005D4B16"/>
    <w:rsid w:val="005D52AE"/>
    <w:rsid w:val="005D6B4B"/>
    <w:rsid w:val="005E2079"/>
    <w:rsid w:val="005E2CB5"/>
    <w:rsid w:val="005E5032"/>
    <w:rsid w:val="005E6722"/>
    <w:rsid w:val="005F0D22"/>
    <w:rsid w:val="005F1626"/>
    <w:rsid w:val="005F1674"/>
    <w:rsid w:val="005F65FC"/>
    <w:rsid w:val="00606C86"/>
    <w:rsid w:val="00611588"/>
    <w:rsid w:val="00611685"/>
    <w:rsid w:val="00611F35"/>
    <w:rsid w:val="00614116"/>
    <w:rsid w:val="00617AB1"/>
    <w:rsid w:val="00620A34"/>
    <w:rsid w:val="0062234A"/>
    <w:rsid w:val="006225A8"/>
    <w:rsid w:val="00623F4E"/>
    <w:rsid w:val="00624B58"/>
    <w:rsid w:val="00626D5F"/>
    <w:rsid w:val="0063606E"/>
    <w:rsid w:val="00637B1C"/>
    <w:rsid w:val="00642545"/>
    <w:rsid w:val="0064274F"/>
    <w:rsid w:val="0064380D"/>
    <w:rsid w:val="0064424F"/>
    <w:rsid w:val="0064570E"/>
    <w:rsid w:val="006505CD"/>
    <w:rsid w:val="00655466"/>
    <w:rsid w:val="006564A0"/>
    <w:rsid w:val="00661505"/>
    <w:rsid w:val="006645E2"/>
    <w:rsid w:val="00671266"/>
    <w:rsid w:val="006747E6"/>
    <w:rsid w:val="00674CAD"/>
    <w:rsid w:val="006768A5"/>
    <w:rsid w:val="00676C12"/>
    <w:rsid w:val="006772D8"/>
    <w:rsid w:val="006776C5"/>
    <w:rsid w:val="00680653"/>
    <w:rsid w:val="00682FFD"/>
    <w:rsid w:val="00684D0B"/>
    <w:rsid w:val="0068591D"/>
    <w:rsid w:val="00693E15"/>
    <w:rsid w:val="00695C1D"/>
    <w:rsid w:val="00697BB3"/>
    <w:rsid w:val="006A5B7C"/>
    <w:rsid w:val="006A7FE3"/>
    <w:rsid w:val="006B3A7A"/>
    <w:rsid w:val="006B5E8E"/>
    <w:rsid w:val="006C2166"/>
    <w:rsid w:val="006C4C78"/>
    <w:rsid w:val="006C4D5D"/>
    <w:rsid w:val="006C5E87"/>
    <w:rsid w:val="006D30EC"/>
    <w:rsid w:val="006E1DC0"/>
    <w:rsid w:val="006E27F0"/>
    <w:rsid w:val="006E52CE"/>
    <w:rsid w:val="006F2296"/>
    <w:rsid w:val="006F276F"/>
    <w:rsid w:val="006F3ACC"/>
    <w:rsid w:val="007015E8"/>
    <w:rsid w:val="007062D8"/>
    <w:rsid w:val="00710754"/>
    <w:rsid w:val="00711513"/>
    <w:rsid w:val="007131B4"/>
    <w:rsid w:val="0071690E"/>
    <w:rsid w:val="007169DE"/>
    <w:rsid w:val="00716C10"/>
    <w:rsid w:val="00717B83"/>
    <w:rsid w:val="00724AA7"/>
    <w:rsid w:val="007318F3"/>
    <w:rsid w:val="00732A0C"/>
    <w:rsid w:val="00736146"/>
    <w:rsid w:val="007461C1"/>
    <w:rsid w:val="00746408"/>
    <w:rsid w:val="007579EC"/>
    <w:rsid w:val="00763561"/>
    <w:rsid w:val="00766849"/>
    <w:rsid w:val="00770507"/>
    <w:rsid w:val="00773E7B"/>
    <w:rsid w:val="0078061A"/>
    <w:rsid w:val="00780CBF"/>
    <w:rsid w:val="007810CB"/>
    <w:rsid w:val="00783AF7"/>
    <w:rsid w:val="007920BE"/>
    <w:rsid w:val="0079325D"/>
    <w:rsid w:val="007A3D63"/>
    <w:rsid w:val="007A7F8B"/>
    <w:rsid w:val="007B2E3D"/>
    <w:rsid w:val="007B2E6D"/>
    <w:rsid w:val="007B31A5"/>
    <w:rsid w:val="007B3A54"/>
    <w:rsid w:val="007B40CC"/>
    <w:rsid w:val="007B701F"/>
    <w:rsid w:val="007C2A40"/>
    <w:rsid w:val="007C2E13"/>
    <w:rsid w:val="007C3AC2"/>
    <w:rsid w:val="007C6C6A"/>
    <w:rsid w:val="007C748F"/>
    <w:rsid w:val="007D131C"/>
    <w:rsid w:val="007D74C7"/>
    <w:rsid w:val="007E0FF3"/>
    <w:rsid w:val="007E1140"/>
    <w:rsid w:val="007E2412"/>
    <w:rsid w:val="007E48A6"/>
    <w:rsid w:val="007E6FB0"/>
    <w:rsid w:val="007F05D5"/>
    <w:rsid w:val="007F4093"/>
    <w:rsid w:val="007F4F18"/>
    <w:rsid w:val="007F662A"/>
    <w:rsid w:val="007F7BFD"/>
    <w:rsid w:val="00800587"/>
    <w:rsid w:val="00802716"/>
    <w:rsid w:val="008037F3"/>
    <w:rsid w:val="00816218"/>
    <w:rsid w:val="00820A62"/>
    <w:rsid w:val="00827F3F"/>
    <w:rsid w:val="0083041D"/>
    <w:rsid w:val="0083085F"/>
    <w:rsid w:val="00831AD6"/>
    <w:rsid w:val="00832099"/>
    <w:rsid w:val="00841E09"/>
    <w:rsid w:val="00841E2D"/>
    <w:rsid w:val="00843F55"/>
    <w:rsid w:val="0084715D"/>
    <w:rsid w:val="0084729E"/>
    <w:rsid w:val="00855D7C"/>
    <w:rsid w:val="0085678E"/>
    <w:rsid w:val="008577E8"/>
    <w:rsid w:val="008649A0"/>
    <w:rsid w:val="00865760"/>
    <w:rsid w:val="00873934"/>
    <w:rsid w:val="00880413"/>
    <w:rsid w:val="00881D34"/>
    <w:rsid w:val="00883B90"/>
    <w:rsid w:val="00895206"/>
    <w:rsid w:val="008978A5"/>
    <w:rsid w:val="008A2495"/>
    <w:rsid w:val="008A4760"/>
    <w:rsid w:val="008A5934"/>
    <w:rsid w:val="008A63BE"/>
    <w:rsid w:val="008A6B92"/>
    <w:rsid w:val="008A7576"/>
    <w:rsid w:val="008B4D0A"/>
    <w:rsid w:val="008B6128"/>
    <w:rsid w:val="008B6502"/>
    <w:rsid w:val="008C2CBB"/>
    <w:rsid w:val="008E4271"/>
    <w:rsid w:val="008F208F"/>
    <w:rsid w:val="008F222C"/>
    <w:rsid w:val="008F3C93"/>
    <w:rsid w:val="008F7CA2"/>
    <w:rsid w:val="00904D26"/>
    <w:rsid w:val="00905246"/>
    <w:rsid w:val="00906AC9"/>
    <w:rsid w:val="0090718D"/>
    <w:rsid w:val="009127C9"/>
    <w:rsid w:val="00913982"/>
    <w:rsid w:val="00914D09"/>
    <w:rsid w:val="009152A7"/>
    <w:rsid w:val="00920C8E"/>
    <w:rsid w:val="00925749"/>
    <w:rsid w:val="009258AC"/>
    <w:rsid w:val="009360B7"/>
    <w:rsid w:val="00940BD4"/>
    <w:rsid w:val="00941BCC"/>
    <w:rsid w:val="009435F9"/>
    <w:rsid w:val="009437C3"/>
    <w:rsid w:val="00952397"/>
    <w:rsid w:val="00960217"/>
    <w:rsid w:val="00966519"/>
    <w:rsid w:val="00972BF0"/>
    <w:rsid w:val="009732CB"/>
    <w:rsid w:val="009735A0"/>
    <w:rsid w:val="00974A24"/>
    <w:rsid w:val="00975B15"/>
    <w:rsid w:val="009802DB"/>
    <w:rsid w:val="00980D49"/>
    <w:rsid w:val="009832A3"/>
    <w:rsid w:val="0099335B"/>
    <w:rsid w:val="00996CC9"/>
    <w:rsid w:val="009A134F"/>
    <w:rsid w:val="009A2977"/>
    <w:rsid w:val="009A47EF"/>
    <w:rsid w:val="009B0E76"/>
    <w:rsid w:val="009B1380"/>
    <w:rsid w:val="009B223B"/>
    <w:rsid w:val="009B648C"/>
    <w:rsid w:val="009B7F3B"/>
    <w:rsid w:val="009C020C"/>
    <w:rsid w:val="009C22BC"/>
    <w:rsid w:val="009C392D"/>
    <w:rsid w:val="009D1E45"/>
    <w:rsid w:val="009D32B7"/>
    <w:rsid w:val="009D5446"/>
    <w:rsid w:val="009E2AD8"/>
    <w:rsid w:val="009F4E94"/>
    <w:rsid w:val="009F5A95"/>
    <w:rsid w:val="009F6FD4"/>
    <w:rsid w:val="00A00783"/>
    <w:rsid w:val="00A02F22"/>
    <w:rsid w:val="00A0431D"/>
    <w:rsid w:val="00A04532"/>
    <w:rsid w:val="00A1012A"/>
    <w:rsid w:val="00A14BE9"/>
    <w:rsid w:val="00A14E0D"/>
    <w:rsid w:val="00A23003"/>
    <w:rsid w:val="00A32BD4"/>
    <w:rsid w:val="00A32CF0"/>
    <w:rsid w:val="00A33DC0"/>
    <w:rsid w:val="00A34E1F"/>
    <w:rsid w:val="00A47758"/>
    <w:rsid w:val="00A5358E"/>
    <w:rsid w:val="00A53E9E"/>
    <w:rsid w:val="00A5701C"/>
    <w:rsid w:val="00A60189"/>
    <w:rsid w:val="00A63F8B"/>
    <w:rsid w:val="00A63FE5"/>
    <w:rsid w:val="00A67A25"/>
    <w:rsid w:val="00A75688"/>
    <w:rsid w:val="00A77EA6"/>
    <w:rsid w:val="00A8342D"/>
    <w:rsid w:val="00A920D3"/>
    <w:rsid w:val="00A93141"/>
    <w:rsid w:val="00A94C3C"/>
    <w:rsid w:val="00A96BAA"/>
    <w:rsid w:val="00AA0973"/>
    <w:rsid w:val="00AA12E6"/>
    <w:rsid w:val="00AA15AC"/>
    <w:rsid w:val="00AA2F38"/>
    <w:rsid w:val="00AA5C4E"/>
    <w:rsid w:val="00AA614C"/>
    <w:rsid w:val="00AB7E48"/>
    <w:rsid w:val="00AC4007"/>
    <w:rsid w:val="00AC6BC3"/>
    <w:rsid w:val="00AC7F11"/>
    <w:rsid w:val="00AD30F0"/>
    <w:rsid w:val="00AD3ABB"/>
    <w:rsid w:val="00AD4E34"/>
    <w:rsid w:val="00AD6C4F"/>
    <w:rsid w:val="00AE6017"/>
    <w:rsid w:val="00AF06E4"/>
    <w:rsid w:val="00AF3308"/>
    <w:rsid w:val="00AF3BBC"/>
    <w:rsid w:val="00AF59E5"/>
    <w:rsid w:val="00AF5CF5"/>
    <w:rsid w:val="00B01B9F"/>
    <w:rsid w:val="00B04FDB"/>
    <w:rsid w:val="00B10D0F"/>
    <w:rsid w:val="00B1108F"/>
    <w:rsid w:val="00B11FD2"/>
    <w:rsid w:val="00B3166C"/>
    <w:rsid w:val="00B3185E"/>
    <w:rsid w:val="00B320AB"/>
    <w:rsid w:val="00B36227"/>
    <w:rsid w:val="00B4010E"/>
    <w:rsid w:val="00B40FBE"/>
    <w:rsid w:val="00B433FB"/>
    <w:rsid w:val="00B449F0"/>
    <w:rsid w:val="00B45E79"/>
    <w:rsid w:val="00B522C0"/>
    <w:rsid w:val="00B53001"/>
    <w:rsid w:val="00B60AC1"/>
    <w:rsid w:val="00B6103B"/>
    <w:rsid w:val="00B62048"/>
    <w:rsid w:val="00B641E3"/>
    <w:rsid w:val="00B64ED8"/>
    <w:rsid w:val="00B66FB8"/>
    <w:rsid w:val="00B751E6"/>
    <w:rsid w:val="00B75EA3"/>
    <w:rsid w:val="00B76BE9"/>
    <w:rsid w:val="00B76E2F"/>
    <w:rsid w:val="00B80DE7"/>
    <w:rsid w:val="00B80FD3"/>
    <w:rsid w:val="00B81AA6"/>
    <w:rsid w:val="00B86695"/>
    <w:rsid w:val="00B9134F"/>
    <w:rsid w:val="00B91726"/>
    <w:rsid w:val="00B918EC"/>
    <w:rsid w:val="00B91B9D"/>
    <w:rsid w:val="00B94C68"/>
    <w:rsid w:val="00B96FB6"/>
    <w:rsid w:val="00BA7208"/>
    <w:rsid w:val="00BB03C9"/>
    <w:rsid w:val="00BB5A7F"/>
    <w:rsid w:val="00BC0355"/>
    <w:rsid w:val="00BC2843"/>
    <w:rsid w:val="00BD764B"/>
    <w:rsid w:val="00BD7B99"/>
    <w:rsid w:val="00BE1F82"/>
    <w:rsid w:val="00BE322B"/>
    <w:rsid w:val="00BE5245"/>
    <w:rsid w:val="00BF1F32"/>
    <w:rsid w:val="00C02E1D"/>
    <w:rsid w:val="00C03EF1"/>
    <w:rsid w:val="00C15030"/>
    <w:rsid w:val="00C150D1"/>
    <w:rsid w:val="00C20CC4"/>
    <w:rsid w:val="00C24BF7"/>
    <w:rsid w:val="00C2671B"/>
    <w:rsid w:val="00C336B1"/>
    <w:rsid w:val="00C35295"/>
    <w:rsid w:val="00C404FE"/>
    <w:rsid w:val="00C40EAB"/>
    <w:rsid w:val="00C43AF0"/>
    <w:rsid w:val="00C45D70"/>
    <w:rsid w:val="00C46A83"/>
    <w:rsid w:val="00C503BC"/>
    <w:rsid w:val="00C6264D"/>
    <w:rsid w:val="00C66142"/>
    <w:rsid w:val="00C67680"/>
    <w:rsid w:val="00C67F5F"/>
    <w:rsid w:val="00C71FC7"/>
    <w:rsid w:val="00C80FE8"/>
    <w:rsid w:val="00C8190A"/>
    <w:rsid w:val="00C83EBE"/>
    <w:rsid w:val="00C853A7"/>
    <w:rsid w:val="00C90017"/>
    <w:rsid w:val="00C9183E"/>
    <w:rsid w:val="00C961BC"/>
    <w:rsid w:val="00C97AD5"/>
    <w:rsid w:val="00CA3282"/>
    <w:rsid w:val="00CA4208"/>
    <w:rsid w:val="00CA4BE3"/>
    <w:rsid w:val="00CB1A35"/>
    <w:rsid w:val="00CB2680"/>
    <w:rsid w:val="00CB3B82"/>
    <w:rsid w:val="00CBB44C"/>
    <w:rsid w:val="00CC17F5"/>
    <w:rsid w:val="00CC2196"/>
    <w:rsid w:val="00CC360C"/>
    <w:rsid w:val="00CC3EBC"/>
    <w:rsid w:val="00CC5643"/>
    <w:rsid w:val="00CD0742"/>
    <w:rsid w:val="00CD192F"/>
    <w:rsid w:val="00CD24D8"/>
    <w:rsid w:val="00CD4C61"/>
    <w:rsid w:val="00CF1702"/>
    <w:rsid w:val="00CF3ACD"/>
    <w:rsid w:val="00CF4440"/>
    <w:rsid w:val="00CF643B"/>
    <w:rsid w:val="00D01B7C"/>
    <w:rsid w:val="00D02827"/>
    <w:rsid w:val="00D04DD5"/>
    <w:rsid w:val="00D059AE"/>
    <w:rsid w:val="00D06B62"/>
    <w:rsid w:val="00D10648"/>
    <w:rsid w:val="00D1184B"/>
    <w:rsid w:val="00D17766"/>
    <w:rsid w:val="00D20EB0"/>
    <w:rsid w:val="00D2326B"/>
    <w:rsid w:val="00D345D1"/>
    <w:rsid w:val="00D347FC"/>
    <w:rsid w:val="00D46124"/>
    <w:rsid w:val="00D51A42"/>
    <w:rsid w:val="00D51B12"/>
    <w:rsid w:val="00D55A18"/>
    <w:rsid w:val="00D55DA9"/>
    <w:rsid w:val="00D626E6"/>
    <w:rsid w:val="00D67030"/>
    <w:rsid w:val="00D700E8"/>
    <w:rsid w:val="00D741DC"/>
    <w:rsid w:val="00D751CF"/>
    <w:rsid w:val="00D75672"/>
    <w:rsid w:val="00D83ACD"/>
    <w:rsid w:val="00D860EE"/>
    <w:rsid w:val="00D87B4C"/>
    <w:rsid w:val="00D901AF"/>
    <w:rsid w:val="00D914C5"/>
    <w:rsid w:val="00D92610"/>
    <w:rsid w:val="00DA1038"/>
    <w:rsid w:val="00DA1251"/>
    <w:rsid w:val="00DA32E1"/>
    <w:rsid w:val="00DA3512"/>
    <w:rsid w:val="00DA46CE"/>
    <w:rsid w:val="00DA6439"/>
    <w:rsid w:val="00DB2BEC"/>
    <w:rsid w:val="00DB3E94"/>
    <w:rsid w:val="00DB5D3A"/>
    <w:rsid w:val="00DB7F27"/>
    <w:rsid w:val="00DC66D0"/>
    <w:rsid w:val="00DC6B23"/>
    <w:rsid w:val="00DD167D"/>
    <w:rsid w:val="00DD35FC"/>
    <w:rsid w:val="00DD62BF"/>
    <w:rsid w:val="00DE0252"/>
    <w:rsid w:val="00DE0EA9"/>
    <w:rsid w:val="00DE32FD"/>
    <w:rsid w:val="00DE67D1"/>
    <w:rsid w:val="00DF05A4"/>
    <w:rsid w:val="00DF1B0A"/>
    <w:rsid w:val="00DF23D5"/>
    <w:rsid w:val="00DF6738"/>
    <w:rsid w:val="00DF6EA5"/>
    <w:rsid w:val="00E01D64"/>
    <w:rsid w:val="00E11055"/>
    <w:rsid w:val="00E115E2"/>
    <w:rsid w:val="00E1506D"/>
    <w:rsid w:val="00E15715"/>
    <w:rsid w:val="00E15856"/>
    <w:rsid w:val="00E208C5"/>
    <w:rsid w:val="00E22AD8"/>
    <w:rsid w:val="00E2586A"/>
    <w:rsid w:val="00E279B8"/>
    <w:rsid w:val="00E31982"/>
    <w:rsid w:val="00E36C9F"/>
    <w:rsid w:val="00E3718F"/>
    <w:rsid w:val="00E404AA"/>
    <w:rsid w:val="00E43423"/>
    <w:rsid w:val="00E435F1"/>
    <w:rsid w:val="00E43B16"/>
    <w:rsid w:val="00E479BE"/>
    <w:rsid w:val="00E55F86"/>
    <w:rsid w:val="00E625F5"/>
    <w:rsid w:val="00E713AD"/>
    <w:rsid w:val="00E73B47"/>
    <w:rsid w:val="00E75CCF"/>
    <w:rsid w:val="00E82389"/>
    <w:rsid w:val="00E87EFF"/>
    <w:rsid w:val="00E92366"/>
    <w:rsid w:val="00E93754"/>
    <w:rsid w:val="00E944AE"/>
    <w:rsid w:val="00EA21E9"/>
    <w:rsid w:val="00EA2762"/>
    <w:rsid w:val="00EA614C"/>
    <w:rsid w:val="00EA6B3D"/>
    <w:rsid w:val="00EA6F09"/>
    <w:rsid w:val="00EB22F0"/>
    <w:rsid w:val="00EB2899"/>
    <w:rsid w:val="00EB5EC8"/>
    <w:rsid w:val="00EC0E03"/>
    <w:rsid w:val="00EC1896"/>
    <w:rsid w:val="00EC3D49"/>
    <w:rsid w:val="00EC4E2E"/>
    <w:rsid w:val="00EC5E88"/>
    <w:rsid w:val="00ED258C"/>
    <w:rsid w:val="00ED3F03"/>
    <w:rsid w:val="00ED4BB9"/>
    <w:rsid w:val="00EE2557"/>
    <w:rsid w:val="00EE4CF9"/>
    <w:rsid w:val="00EE5256"/>
    <w:rsid w:val="00EE544E"/>
    <w:rsid w:val="00EE5F7D"/>
    <w:rsid w:val="00EE672D"/>
    <w:rsid w:val="00EF0AE8"/>
    <w:rsid w:val="00EF3678"/>
    <w:rsid w:val="00F0138F"/>
    <w:rsid w:val="00F0314E"/>
    <w:rsid w:val="00F0379A"/>
    <w:rsid w:val="00F03AF9"/>
    <w:rsid w:val="00F05ACB"/>
    <w:rsid w:val="00F10E21"/>
    <w:rsid w:val="00F11169"/>
    <w:rsid w:val="00F22276"/>
    <w:rsid w:val="00F250A5"/>
    <w:rsid w:val="00F301AF"/>
    <w:rsid w:val="00F320FC"/>
    <w:rsid w:val="00F37D83"/>
    <w:rsid w:val="00F41AD6"/>
    <w:rsid w:val="00F42947"/>
    <w:rsid w:val="00F45B38"/>
    <w:rsid w:val="00F462FB"/>
    <w:rsid w:val="00F5543B"/>
    <w:rsid w:val="00F55A7F"/>
    <w:rsid w:val="00F57D34"/>
    <w:rsid w:val="00F624CC"/>
    <w:rsid w:val="00F63BF1"/>
    <w:rsid w:val="00F64D3D"/>
    <w:rsid w:val="00F650A6"/>
    <w:rsid w:val="00F66653"/>
    <w:rsid w:val="00F66786"/>
    <w:rsid w:val="00F703B4"/>
    <w:rsid w:val="00F7666D"/>
    <w:rsid w:val="00F76E76"/>
    <w:rsid w:val="00F80A94"/>
    <w:rsid w:val="00F8149F"/>
    <w:rsid w:val="00F8253D"/>
    <w:rsid w:val="00F84816"/>
    <w:rsid w:val="00F853A8"/>
    <w:rsid w:val="00F8680A"/>
    <w:rsid w:val="00F9299C"/>
    <w:rsid w:val="00F94E96"/>
    <w:rsid w:val="00F94F21"/>
    <w:rsid w:val="00F95039"/>
    <w:rsid w:val="00FA1602"/>
    <w:rsid w:val="00FC4E3F"/>
    <w:rsid w:val="00FC677D"/>
    <w:rsid w:val="00FD05F9"/>
    <w:rsid w:val="00FD0821"/>
    <w:rsid w:val="00FD1F1F"/>
    <w:rsid w:val="00FD706A"/>
    <w:rsid w:val="00FE6457"/>
    <w:rsid w:val="00FF09E4"/>
    <w:rsid w:val="00FF6FC8"/>
    <w:rsid w:val="00FF7751"/>
    <w:rsid w:val="00FF7E73"/>
    <w:rsid w:val="0110956C"/>
    <w:rsid w:val="0153D89E"/>
    <w:rsid w:val="016A0DA7"/>
    <w:rsid w:val="01A088C3"/>
    <w:rsid w:val="02693D59"/>
    <w:rsid w:val="029BCA81"/>
    <w:rsid w:val="0308D15C"/>
    <w:rsid w:val="03CA0727"/>
    <w:rsid w:val="04C67FF3"/>
    <w:rsid w:val="052FF7A2"/>
    <w:rsid w:val="055FD7A8"/>
    <w:rsid w:val="07343511"/>
    <w:rsid w:val="073CAE7C"/>
    <w:rsid w:val="074FC4EB"/>
    <w:rsid w:val="07F9BFFF"/>
    <w:rsid w:val="094CFAF1"/>
    <w:rsid w:val="0A52AD76"/>
    <w:rsid w:val="0B13E341"/>
    <w:rsid w:val="0B9F3926"/>
    <w:rsid w:val="0C29846A"/>
    <w:rsid w:val="0CAFB3A2"/>
    <w:rsid w:val="0D42F70D"/>
    <w:rsid w:val="0EFFC982"/>
    <w:rsid w:val="102ED055"/>
    <w:rsid w:val="125EE3B3"/>
    <w:rsid w:val="12B1EE4B"/>
    <w:rsid w:val="13F98FBC"/>
    <w:rsid w:val="145D40D7"/>
    <w:rsid w:val="14BAC587"/>
    <w:rsid w:val="14BE1773"/>
    <w:rsid w:val="14DE42E7"/>
    <w:rsid w:val="1639DE5F"/>
    <w:rsid w:val="196F04D0"/>
    <w:rsid w:val="19750E4D"/>
    <w:rsid w:val="19C93D3D"/>
    <w:rsid w:val="1A90A7E2"/>
    <w:rsid w:val="1B10DEAE"/>
    <w:rsid w:val="1BBD4A76"/>
    <w:rsid w:val="1CACAF0F"/>
    <w:rsid w:val="1D1A42CA"/>
    <w:rsid w:val="1D755A13"/>
    <w:rsid w:val="1DA07202"/>
    <w:rsid w:val="1E0C10A3"/>
    <w:rsid w:val="1E1ADFDE"/>
    <w:rsid w:val="1E9CAE60"/>
    <w:rsid w:val="1EB53E4A"/>
    <w:rsid w:val="1EE466DB"/>
    <w:rsid w:val="1F7748F6"/>
    <w:rsid w:val="20510EAB"/>
    <w:rsid w:val="207DD244"/>
    <w:rsid w:val="2101DE80"/>
    <w:rsid w:val="224CC3C5"/>
    <w:rsid w:val="231BF093"/>
    <w:rsid w:val="233518F0"/>
    <w:rsid w:val="23D179AE"/>
    <w:rsid w:val="24C4C34E"/>
    <w:rsid w:val="25FF134C"/>
    <w:rsid w:val="266CB9B2"/>
    <w:rsid w:val="2789A556"/>
    <w:rsid w:val="289BCD7E"/>
    <w:rsid w:val="2AF91018"/>
    <w:rsid w:val="2B270278"/>
    <w:rsid w:val="2B6E1C63"/>
    <w:rsid w:val="2BCB0CBF"/>
    <w:rsid w:val="2D1D36A3"/>
    <w:rsid w:val="2DE922F4"/>
    <w:rsid w:val="2F75E38D"/>
    <w:rsid w:val="2FFA739B"/>
    <w:rsid w:val="30297197"/>
    <w:rsid w:val="30462920"/>
    <w:rsid w:val="31B6E192"/>
    <w:rsid w:val="3297D297"/>
    <w:rsid w:val="33792E48"/>
    <w:rsid w:val="350F202B"/>
    <w:rsid w:val="3533F9AE"/>
    <w:rsid w:val="35B06CDA"/>
    <w:rsid w:val="35C99537"/>
    <w:rsid w:val="363BC2BF"/>
    <w:rsid w:val="36B442F5"/>
    <w:rsid w:val="3799161D"/>
    <w:rsid w:val="37D79320"/>
    <w:rsid w:val="383ACA97"/>
    <w:rsid w:val="385FE94A"/>
    <w:rsid w:val="3861DE64"/>
    <w:rsid w:val="391F8817"/>
    <w:rsid w:val="39FBB9AB"/>
    <w:rsid w:val="3B0F33E2"/>
    <w:rsid w:val="3B77A0F0"/>
    <w:rsid w:val="3CC42CA0"/>
    <w:rsid w:val="3CD4BE26"/>
    <w:rsid w:val="3F302FC0"/>
    <w:rsid w:val="41045A58"/>
    <w:rsid w:val="4113995A"/>
    <w:rsid w:val="41BBCA85"/>
    <w:rsid w:val="42885172"/>
    <w:rsid w:val="4322334D"/>
    <w:rsid w:val="4374BBD2"/>
    <w:rsid w:val="44144FD5"/>
    <w:rsid w:val="442421D3"/>
    <w:rsid w:val="4443E8A0"/>
    <w:rsid w:val="45055AD9"/>
    <w:rsid w:val="45519C43"/>
    <w:rsid w:val="45D4F649"/>
    <w:rsid w:val="45DF40B4"/>
    <w:rsid w:val="46019737"/>
    <w:rsid w:val="4662780F"/>
    <w:rsid w:val="477B1928"/>
    <w:rsid w:val="481CCDA2"/>
    <w:rsid w:val="4916E989"/>
    <w:rsid w:val="4989874B"/>
    <w:rsid w:val="499A18D1"/>
    <w:rsid w:val="49C6DC6A"/>
    <w:rsid w:val="49ED58BF"/>
    <w:rsid w:val="4A13D28F"/>
    <w:rsid w:val="4AB2B9EA"/>
    <w:rsid w:val="4B06C0A1"/>
    <w:rsid w:val="4B35E932"/>
    <w:rsid w:val="4E6D89F4"/>
    <w:rsid w:val="4E9A4D8D"/>
    <w:rsid w:val="4EF87E89"/>
    <w:rsid w:val="4FBFE92E"/>
    <w:rsid w:val="4FC1DE48"/>
    <w:rsid w:val="4FD4B849"/>
    <w:rsid w:val="4FDA31C4"/>
    <w:rsid w:val="4FF8C8CF"/>
    <w:rsid w:val="5081AFB6"/>
    <w:rsid w:val="51FBDE8F"/>
    <w:rsid w:val="52A513AC"/>
    <w:rsid w:val="52AA5B51"/>
    <w:rsid w:val="52F0C931"/>
    <w:rsid w:val="537FAE42"/>
    <w:rsid w:val="53BAB4D5"/>
    <w:rsid w:val="54242C84"/>
    <w:rsid w:val="54954F6B"/>
    <w:rsid w:val="55AEC20E"/>
    <w:rsid w:val="55C7EA6B"/>
    <w:rsid w:val="5623CE59"/>
    <w:rsid w:val="56FA431D"/>
    <w:rsid w:val="5712C86F"/>
    <w:rsid w:val="573D363B"/>
    <w:rsid w:val="57781495"/>
    <w:rsid w:val="577884CF"/>
    <w:rsid w:val="57F8E6F8"/>
    <w:rsid w:val="5A2B9583"/>
    <w:rsid w:val="5BE688D4"/>
    <w:rsid w:val="5C3FB349"/>
    <w:rsid w:val="5D6984A1"/>
    <w:rsid w:val="5D7A1FED"/>
    <w:rsid w:val="5DB9D3F3"/>
    <w:rsid w:val="5E7E0496"/>
    <w:rsid w:val="5E9748FA"/>
    <w:rsid w:val="5ECA4E6F"/>
    <w:rsid w:val="6016DA1F"/>
    <w:rsid w:val="609937DD"/>
    <w:rsid w:val="60BC132D"/>
    <w:rsid w:val="61078DCE"/>
    <w:rsid w:val="61E8C6D4"/>
    <w:rsid w:val="62167BF4"/>
    <w:rsid w:val="6220F5B0"/>
    <w:rsid w:val="623CF5C4"/>
    <w:rsid w:val="6317905A"/>
    <w:rsid w:val="634E7AE1"/>
    <w:rsid w:val="63D0D89F"/>
    <w:rsid w:val="644554B3"/>
    <w:rsid w:val="6531A26D"/>
    <w:rsid w:val="66256560"/>
    <w:rsid w:val="66861BA3"/>
    <w:rsid w:val="66D56054"/>
    <w:rsid w:val="67087961"/>
    <w:rsid w:val="671066E7"/>
    <w:rsid w:val="671FE912"/>
    <w:rsid w:val="673B0689"/>
    <w:rsid w:val="6760B639"/>
    <w:rsid w:val="677CF575"/>
    <w:rsid w:val="67BC9A27"/>
    <w:rsid w:val="684618C6"/>
    <w:rsid w:val="685AA4AA"/>
    <w:rsid w:val="68A449C2"/>
    <w:rsid w:val="68C6338B"/>
    <w:rsid w:val="691C27E8"/>
    <w:rsid w:val="697EE458"/>
    <w:rsid w:val="6A9856FB"/>
    <w:rsid w:val="6B72F191"/>
    <w:rsid w:val="6CB2F902"/>
    <w:rsid w:val="6CBE72A0"/>
    <w:rsid w:val="6E2BDBAB"/>
    <w:rsid w:val="6E52557B"/>
    <w:rsid w:val="6F1B78CC"/>
    <w:rsid w:val="6F3C3AE6"/>
    <w:rsid w:val="70F4AF2A"/>
    <w:rsid w:val="7107987F"/>
    <w:rsid w:val="718B9567"/>
    <w:rsid w:val="7191E3C3"/>
    <w:rsid w:val="71FBF74A"/>
    <w:rsid w:val="7253198E"/>
    <w:rsid w:val="737E0376"/>
    <w:rsid w:val="73ABF5D6"/>
    <w:rsid w:val="74C196FF"/>
    <w:rsid w:val="74DA1FD1"/>
    <w:rsid w:val="7533E57F"/>
    <w:rsid w:val="77659F2C"/>
    <w:rsid w:val="782674B0"/>
    <w:rsid w:val="78678DB2"/>
    <w:rsid w:val="7886DC32"/>
    <w:rsid w:val="78D9CAC3"/>
    <w:rsid w:val="7AE107ED"/>
    <w:rsid w:val="7B4B8C64"/>
    <w:rsid w:val="7CD4966A"/>
    <w:rsid w:val="7D941389"/>
    <w:rsid w:val="7E0A4849"/>
    <w:rsid w:val="7F319C96"/>
    <w:rsid w:val="7FE5BD5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744C6"/>
  <w15:chartTrackingRefBased/>
  <w15:docId w15:val="{FF703009-155C-42A6-8812-2E49B0AD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C2166"/>
    <w:pPr>
      <w:spacing w:before="160" w:after="0" w:line="312" w:lineRule="auto"/>
    </w:pPr>
    <w:rPr>
      <w:sz w:val="20"/>
      <w:szCs w:val="18"/>
      <w:lang w:val="en-GB"/>
    </w:rPr>
  </w:style>
  <w:style w:type="paragraph" w:styleId="Heading1">
    <w:name w:val="heading 1"/>
    <w:aliases w:val="Num Heading 1"/>
    <w:basedOn w:val="Normal"/>
    <w:next w:val="Normal"/>
    <w:link w:val="Heading1Char"/>
    <w:uiPriority w:val="1"/>
    <w:qFormat/>
    <w:rsid w:val="003F253D"/>
    <w:pPr>
      <w:keepNext/>
      <w:keepLines/>
      <w:numPr>
        <w:numId w:val="9"/>
      </w:numPr>
      <w:spacing w:before="240" w:line="276" w:lineRule="auto"/>
      <w:outlineLvl w:val="0"/>
    </w:pPr>
    <w:rPr>
      <w:b/>
      <w:caps/>
      <w:color w:val="1ED2E6" w:themeColor="accent1"/>
      <w:sz w:val="24"/>
      <w:szCs w:val="24"/>
    </w:rPr>
  </w:style>
  <w:style w:type="paragraph" w:styleId="Heading2">
    <w:name w:val="heading 2"/>
    <w:aliases w:val="Num Heading 2"/>
    <w:basedOn w:val="Normal"/>
    <w:next w:val="Normal"/>
    <w:link w:val="Heading2Char"/>
    <w:uiPriority w:val="1"/>
    <w:unhideWhenUsed/>
    <w:qFormat/>
    <w:rsid w:val="003F253D"/>
    <w:pPr>
      <w:keepNext/>
      <w:keepLines/>
      <w:numPr>
        <w:ilvl w:val="1"/>
        <w:numId w:val="9"/>
      </w:numPr>
      <w:spacing w:before="120" w:line="276" w:lineRule="auto"/>
      <w:outlineLvl w:val="1"/>
    </w:pPr>
    <w:rPr>
      <w:b/>
      <w:color w:val="1ED2E6" w:themeColor="accent1"/>
      <w:sz w:val="22"/>
      <w:szCs w:val="22"/>
    </w:rPr>
  </w:style>
  <w:style w:type="paragraph" w:styleId="Heading3">
    <w:name w:val="heading 3"/>
    <w:aliases w:val="Num Heading 3"/>
    <w:basedOn w:val="Normal"/>
    <w:next w:val="Normal"/>
    <w:link w:val="Heading3Char"/>
    <w:uiPriority w:val="1"/>
    <w:unhideWhenUsed/>
    <w:qFormat/>
    <w:rsid w:val="003F253D"/>
    <w:pPr>
      <w:keepNext/>
      <w:keepLines/>
      <w:numPr>
        <w:ilvl w:val="2"/>
        <w:numId w:val="9"/>
      </w:numPr>
      <w:spacing w:line="276" w:lineRule="auto"/>
      <w:outlineLvl w:val="2"/>
    </w:pPr>
    <w:rPr>
      <w:bCs/>
      <w:color w:val="1ED2E6" w:themeColor="accent1"/>
      <w:szCs w:val="20"/>
    </w:rPr>
  </w:style>
  <w:style w:type="paragraph" w:styleId="Heading4">
    <w:name w:val="heading 4"/>
    <w:aliases w:val="Num Heading 4"/>
    <w:basedOn w:val="Normal"/>
    <w:next w:val="Normal"/>
    <w:link w:val="Heading4Char"/>
    <w:uiPriority w:val="1"/>
    <w:unhideWhenUsed/>
    <w:qFormat/>
    <w:rsid w:val="003F253D"/>
    <w:pPr>
      <w:keepNext/>
      <w:keepLines/>
      <w:numPr>
        <w:ilvl w:val="3"/>
        <w:numId w:val="9"/>
      </w:numPr>
      <w:spacing w:line="276" w:lineRule="auto"/>
      <w:outlineLvl w:val="3"/>
    </w:pPr>
    <w:rPr>
      <w:bCs/>
      <w:color w:val="5A5B5E" w:themeColor="background2"/>
      <w:szCs w:val="20"/>
    </w:rPr>
  </w:style>
  <w:style w:type="paragraph" w:styleId="Heading5">
    <w:name w:val="heading 5"/>
    <w:aliases w:val="Num Heading 5"/>
    <w:basedOn w:val="Normal"/>
    <w:next w:val="Normal"/>
    <w:link w:val="Heading5Char"/>
    <w:uiPriority w:val="1"/>
    <w:unhideWhenUsed/>
    <w:qFormat/>
    <w:rsid w:val="003F253D"/>
    <w:pPr>
      <w:keepNext/>
      <w:keepLines/>
      <w:numPr>
        <w:ilvl w:val="4"/>
        <w:numId w:val="9"/>
      </w:numPr>
      <w:spacing w:line="276" w:lineRule="auto"/>
      <w:outlineLvl w:val="4"/>
    </w:pPr>
    <w:rPr>
      <w:bCs/>
      <w:color w:val="9B9C9F" w:themeColor="background2" w:themeTint="99"/>
    </w:rPr>
  </w:style>
  <w:style w:type="paragraph" w:styleId="Heading6">
    <w:name w:val="heading 6"/>
    <w:aliases w:val="Num Heading 6"/>
    <w:basedOn w:val="Normal"/>
    <w:next w:val="Normal"/>
    <w:link w:val="Heading6Char"/>
    <w:uiPriority w:val="1"/>
    <w:unhideWhenUsed/>
    <w:qFormat/>
    <w:rsid w:val="003F253D"/>
    <w:pPr>
      <w:keepNext/>
      <w:keepLines/>
      <w:numPr>
        <w:ilvl w:val="5"/>
        <w:numId w:val="9"/>
      </w:numPr>
      <w:spacing w:line="276" w:lineRule="auto"/>
      <w:outlineLvl w:val="5"/>
    </w:pPr>
    <w:rPr>
      <w:bCs/>
      <w:color w:val="BABCBF" w:themeColor="accent6"/>
    </w:rPr>
  </w:style>
  <w:style w:type="paragraph" w:styleId="Heading7">
    <w:name w:val="heading 7"/>
    <w:basedOn w:val="Normal"/>
    <w:next w:val="Normal"/>
    <w:link w:val="Heading7Char"/>
    <w:uiPriority w:val="9"/>
    <w:semiHidden/>
    <w:qFormat/>
    <w:rsid w:val="003F253D"/>
    <w:pPr>
      <w:outlineLvl w:val="6"/>
    </w:pPr>
  </w:style>
  <w:style w:type="paragraph" w:styleId="Heading8">
    <w:name w:val="heading 8"/>
    <w:basedOn w:val="Normal"/>
    <w:next w:val="Normal"/>
    <w:link w:val="Heading8Char"/>
    <w:uiPriority w:val="9"/>
    <w:semiHidden/>
    <w:qFormat/>
    <w:rsid w:val="003F253D"/>
    <w:pPr>
      <w:outlineLvl w:val="7"/>
    </w:pPr>
  </w:style>
  <w:style w:type="paragraph" w:styleId="Heading9">
    <w:name w:val="heading 9"/>
    <w:basedOn w:val="Normal"/>
    <w:next w:val="Normal"/>
    <w:link w:val="Heading9Char"/>
    <w:uiPriority w:val="9"/>
    <w:semiHidden/>
    <w:qFormat/>
    <w:rsid w:val="003F2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B91B9D"/>
    <w:pPr>
      <w:spacing w:before="0" w:line="200" w:lineRule="atLeast"/>
      <w:contextualSpacing/>
    </w:pPr>
    <w:rPr>
      <w:rFonts w:asciiTheme="majorHAnsi" w:eastAsiaTheme="majorEastAsia" w:hAnsiTheme="majorHAnsi" w:cstheme="majorBidi"/>
      <w:b/>
      <w:caps/>
      <w:color w:val="1ED2E6" w:themeColor="accent1"/>
      <w:spacing w:val="-10"/>
      <w:kern w:val="28"/>
      <w:sz w:val="60"/>
      <w:szCs w:val="60"/>
    </w:rPr>
  </w:style>
  <w:style w:type="character" w:customStyle="1" w:styleId="TitleChar">
    <w:name w:val="Title Char"/>
    <w:basedOn w:val="DefaultParagraphFont"/>
    <w:link w:val="Title"/>
    <w:uiPriority w:val="99"/>
    <w:rsid w:val="00B91B9D"/>
    <w:rPr>
      <w:rFonts w:asciiTheme="majorHAnsi" w:eastAsiaTheme="majorEastAsia" w:hAnsiTheme="majorHAnsi" w:cstheme="majorBidi"/>
      <w:b/>
      <w:caps/>
      <w:color w:val="1ED2E6" w:themeColor="accent1"/>
      <w:spacing w:val="-10"/>
      <w:kern w:val="28"/>
      <w:sz w:val="60"/>
      <w:szCs w:val="60"/>
      <w:lang w:val="en-GB"/>
    </w:rPr>
  </w:style>
  <w:style w:type="paragraph" w:styleId="Subtitle">
    <w:name w:val="Subtitle"/>
    <w:basedOn w:val="Normal"/>
    <w:next w:val="Normal"/>
    <w:link w:val="SubtitleChar"/>
    <w:uiPriority w:val="99"/>
    <w:qFormat/>
    <w:rsid w:val="00B91B9D"/>
    <w:pPr>
      <w:numPr>
        <w:ilvl w:val="1"/>
      </w:numPr>
      <w:spacing w:before="0" w:after="960" w:line="400" w:lineRule="exact"/>
    </w:pPr>
    <w:rPr>
      <w:rFonts w:eastAsiaTheme="minorEastAsia"/>
      <w:b/>
      <w:bCs/>
      <w:color w:val="1ED2E6" w:themeColor="accent1"/>
      <w:sz w:val="32"/>
      <w:szCs w:val="32"/>
    </w:rPr>
  </w:style>
  <w:style w:type="character" w:customStyle="1" w:styleId="SubtitleChar">
    <w:name w:val="Subtitle Char"/>
    <w:basedOn w:val="DefaultParagraphFont"/>
    <w:link w:val="Subtitle"/>
    <w:uiPriority w:val="99"/>
    <w:rsid w:val="00B91B9D"/>
    <w:rPr>
      <w:rFonts w:eastAsiaTheme="minorEastAsia"/>
      <w:b/>
      <w:bCs/>
      <w:color w:val="1ED2E6" w:themeColor="accent1"/>
      <w:sz w:val="32"/>
      <w:szCs w:val="32"/>
      <w:lang w:val="en-GB"/>
    </w:rPr>
  </w:style>
  <w:style w:type="character" w:customStyle="1" w:styleId="Heading1Char">
    <w:name w:val="Heading 1 Char"/>
    <w:aliases w:val="Num Heading 1 Char"/>
    <w:basedOn w:val="DefaultParagraphFont"/>
    <w:link w:val="Heading1"/>
    <w:uiPriority w:val="1"/>
    <w:rsid w:val="003F253D"/>
    <w:rPr>
      <w:b/>
      <w:caps/>
      <w:color w:val="1ED2E6" w:themeColor="accent1"/>
      <w:sz w:val="24"/>
      <w:szCs w:val="24"/>
      <w:lang w:val="en-GB"/>
    </w:rPr>
  </w:style>
  <w:style w:type="character" w:customStyle="1" w:styleId="Heading2Char">
    <w:name w:val="Heading 2 Char"/>
    <w:aliases w:val="Num Heading 2 Char"/>
    <w:basedOn w:val="DefaultParagraphFont"/>
    <w:link w:val="Heading2"/>
    <w:uiPriority w:val="1"/>
    <w:rsid w:val="003F253D"/>
    <w:rPr>
      <w:b/>
      <w:color w:val="1ED2E6" w:themeColor="accent1"/>
      <w:lang w:val="en-GB"/>
    </w:rPr>
  </w:style>
  <w:style w:type="character" w:customStyle="1" w:styleId="Heading3Char">
    <w:name w:val="Heading 3 Char"/>
    <w:aliases w:val="Num Heading 3 Char"/>
    <w:basedOn w:val="DefaultParagraphFont"/>
    <w:link w:val="Heading3"/>
    <w:uiPriority w:val="1"/>
    <w:rsid w:val="003F253D"/>
    <w:rPr>
      <w:bCs/>
      <w:color w:val="1ED2E6" w:themeColor="accent1"/>
      <w:sz w:val="20"/>
      <w:szCs w:val="20"/>
      <w:lang w:val="en-GB"/>
    </w:rPr>
  </w:style>
  <w:style w:type="character" w:customStyle="1" w:styleId="Heading4Char">
    <w:name w:val="Heading 4 Char"/>
    <w:aliases w:val="Num Heading 4 Char"/>
    <w:basedOn w:val="DefaultParagraphFont"/>
    <w:link w:val="Heading4"/>
    <w:uiPriority w:val="1"/>
    <w:rsid w:val="003F253D"/>
    <w:rPr>
      <w:bCs/>
      <w:color w:val="5A5B5E" w:themeColor="background2"/>
      <w:sz w:val="20"/>
      <w:szCs w:val="20"/>
      <w:lang w:val="en-GB"/>
    </w:rPr>
  </w:style>
  <w:style w:type="character" w:customStyle="1" w:styleId="Heading5Char">
    <w:name w:val="Heading 5 Char"/>
    <w:aliases w:val="Num Heading 5 Char"/>
    <w:basedOn w:val="DefaultParagraphFont"/>
    <w:link w:val="Heading5"/>
    <w:uiPriority w:val="1"/>
    <w:rsid w:val="003F253D"/>
    <w:rPr>
      <w:bCs/>
      <w:color w:val="9B9C9F" w:themeColor="background2" w:themeTint="99"/>
      <w:sz w:val="20"/>
      <w:szCs w:val="18"/>
      <w:lang w:val="en-GB"/>
    </w:rPr>
  </w:style>
  <w:style w:type="character" w:customStyle="1" w:styleId="Heading6Char">
    <w:name w:val="Heading 6 Char"/>
    <w:aliases w:val="Num Heading 6 Char"/>
    <w:basedOn w:val="DefaultParagraphFont"/>
    <w:link w:val="Heading6"/>
    <w:uiPriority w:val="1"/>
    <w:rsid w:val="003F253D"/>
    <w:rPr>
      <w:bCs/>
      <w:color w:val="BABCBF" w:themeColor="accent6"/>
      <w:sz w:val="20"/>
      <w:szCs w:val="18"/>
      <w:lang w:val="en-GB"/>
    </w:rPr>
  </w:style>
  <w:style w:type="character" w:customStyle="1" w:styleId="Heading7Char">
    <w:name w:val="Heading 7 Char"/>
    <w:basedOn w:val="DefaultParagraphFont"/>
    <w:link w:val="Heading7"/>
    <w:uiPriority w:val="9"/>
    <w:semiHidden/>
    <w:rsid w:val="003F253D"/>
    <w:rPr>
      <w:sz w:val="20"/>
      <w:szCs w:val="18"/>
      <w:lang w:val="en-GB"/>
    </w:rPr>
  </w:style>
  <w:style w:type="character" w:customStyle="1" w:styleId="Heading8Char">
    <w:name w:val="Heading 8 Char"/>
    <w:basedOn w:val="DefaultParagraphFont"/>
    <w:link w:val="Heading8"/>
    <w:uiPriority w:val="9"/>
    <w:semiHidden/>
    <w:rsid w:val="003F253D"/>
    <w:rPr>
      <w:sz w:val="20"/>
      <w:szCs w:val="18"/>
      <w:lang w:val="en-GB"/>
    </w:rPr>
  </w:style>
  <w:style w:type="character" w:customStyle="1" w:styleId="Heading9Char">
    <w:name w:val="Heading 9 Char"/>
    <w:basedOn w:val="DefaultParagraphFont"/>
    <w:link w:val="Heading9"/>
    <w:uiPriority w:val="9"/>
    <w:semiHidden/>
    <w:rsid w:val="003F253D"/>
    <w:rPr>
      <w:sz w:val="20"/>
      <w:szCs w:val="18"/>
      <w:lang w:val="en-GB"/>
    </w:rPr>
  </w:style>
  <w:style w:type="paragraph" w:styleId="ListParagraph">
    <w:name w:val="List Paragraph"/>
    <w:basedOn w:val="Normal"/>
    <w:uiPriority w:val="34"/>
    <w:qFormat/>
    <w:rsid w:val="003F253D"/>
    <w:pPr>
      <w:ind w:left="720"/>
      <w:contextualSpacing/>
    </w:pPr>
  </w:style>
  <w:style w:type="character" w:styleId="Strong">
    <w:name w:val="Strong"/>
    <w:aliases w:val="*Bold"/>
    <w:basedOn w:val="DefaultParagraphFont"/>
    <w:uiPriority w:val="22"/>
    <w:qFormat/>
    <w:rsid w:val="003F253D"/>
    <w:rPr>
      <w:b/>
      <w:bCs/>
    </w:rPr>
  </w:style>
  <w:style w:type="character" w:styleId="Emphasis">
    <w:name w:val="Emphasis"/>
    <w:aliases w:val="*Italics"/>
    <w:basedOn w:val="DefaultParagraphFont"/>
    <w:uiPriority w:val="20"/>
    <w:qFormat/>
    <w:rsid w:val="003F253D"/>
    <w:rPr>
      <w:i/>
      <w:iCs/>
    </w:rPr>
  </w:style>
  <w:style w:type="paragraph" w:styleId="ListBullet">
    <w:name w:val="List Bullet"/>
    <w:basedOn w:val="ListParagraph"/>
    <w:qFormat/>
    <w:rsid w:val="003F253D"/>
    <w:pPr>
      <w:numPr>
        <w:numId w:val="5"/>
      </w:numPr>
    </w:pPr>
    <w:rPr>
      <w:color w:val="5B5D62" w:themeColor="accent6" w:themeShade="80"/>
    </w:rPr>
  </w:style>
  <w:style w:type="paragraph" w:styleId="ListBullet2">
    <w:name w:val="List Bullet 2"/>
    <w:basedOn w:val="Normal"/>
    <w:qFormat/>
    <w:rsid w:val="003F253D"/>
    <w:pPr>
      <w:numPr>
        <w:ilvl w:val="1"/>
        <w:numId w:val="5"/>
      </w:numPr>
      <w:contextualSpacing/>
    </w:pPr>
    <w:rPr>
      <w:color w:val="5B5D62" w:themeColor="accent6" w:themeShade="80"/>
    </w:rPr>
  </w:style>
  <w:style w:type="paragraph" w:styleId="ListBullet3">
    <w:name w:val="List Bullet 3"/>
    <w:basedOn w:val="Normal"/>
    <w:qFormat/>
    <w:rsid w:val="003F253D"/>
    <w:pPr>
      <w:numPr>
        <w:ilvl w:val="2"/>
        <w:numId w:val="5"/>
      </w:numPr>
      <w:contextualSpacing/>
    </w:pPr>
    <w:rPr>
      <w:color w:val="5B5D62" w:themeColor="accent6" w:themeShade="80"/>
    </w:rPr>
  </w:style>
  <w:style w:type="paragraph" w:styleId="Header">
    <w:name w:val="header"/>
    <w:basedOn w:val="Normal"/>
    <w:link w:val="HeaderChar"/>
    <w:uiPriority w:val="99"/>
    <w:unhideWhenUsed/>
    <w:rsid w:val="003F253D"/>
    <w:pPr>
      <w:tabs>
        <w:tab w:val="center" w:pos="4513"/>
        <w:tab w:val="right" w:pos="9026"/>
      </w:tabs>
      <w:spacing w:line="240" w:lineRule="auto"/>
    </w:pPr>
  </w:style>
  <w:style w:type="character" w:customStyle="1" w:styleId="HeaderChar">
    <w:name w:val="Header Char"/>
    <w:basedOn w:val="DefaultParagraphFont"/>
    <w:link w:val="Header"/>
    <w:uiPriority w:val="99"/>
    <w:rsid w:val="003F253D"/>
    <w:rPr>
      <w:sz w:val="20"/>
      <w:szCs w:val="18"/>
      <w:lang w:val="en-GB"/>
    </w:rPr>
  </w:style>
  <w:style w:type="paragraph" w:styleId="Footer">
    <w:name w:val="footer"/>
    <w:basedOn w:val="Normal"/>
    <w:link w:val="FooterChar"/>
    <w:uiPriority w:val="99"/>
    <w:unhideWhenUsed/>
    <w:rsid w:val="003F253D"/>
    <w:pPr>
      <w:pBdr>
        <w:top w:val="single" w:sz="4" w:space="16" w:color="5B5D62" w:themeColor="accent6" w:themeShade="80"/>
      </w:pBdr>
      <w:tabs>
        <w:tab w:val="center" w:pos="4513"/>
        <w:tab w:val="right" w:pos="9026"/>
      </w:tabs>
      <w:spacing w:line="240" w:lineRule="auto"/>
    </w:pPr>
    <w:rPr>
      <w:color w:val="5B5D62" w:themeColor="accent6" w:themeShade="80"/>
      <w:sz w:val="16"/>
    </w:rPr>
  </w:style>
  <w:style w:type="character" w:customStyle="1" w:styleId="FooterChar">
    <w:name w:val="Footer Char"/>
    <w:basedOn w:val="DefaultParagraphFont"/>
    <w:link w:val="Footer"/>
    <w:uiPriority w:val="99"/>
    <w:rsid w:val="003F253D"/>
    <w:rPr>
      <w:color w:val="5B5D62" w:themeColor="accent6" w:themeShade="80"/>
      <w:sz w:val="16"/>
      <w:szCs w:val="18"/>
      <w:lang w:val="en-GB"/>
    </w:rPr>
  </w:style>
  <w:style w:type="paragraph" w:customStyle="1" w:styleId="Subpara1">
    <w:name w:val="Subpara 1"/>
    <w:basedOn w:val="Heading7"/>
    <w:next w:val="Normal"/>
    <w:uiPriority w:val="1"/>
    <w:qFormat/>
    <w:rsid w:val="003F253D"/>
    <w:pPr>
      <w:numPr>
        <w:ilvl w:val="6"/>
        <w:numId w:val="9"/>
      </w:numPr>
      <w:contextualSpacing/>
    </w:pPr>
    <w:rPr>
      <w:color w:val="5B5D62" w:themeColor="accent6" w:themeShade="80"/>
    </w:rPr>
  </w:style>
  <w:style w:type="paragraph" w:customStyle="1" w:styleId="Subpara2">
    <w:name w:val="Subpara 2"/>
    <w:basedOn w:val="Heading8"/>
    <w:next w:val="Normal"/>
    <w:uiPriority w:val="1"/>
    <w:qFormat/>
    <w:rsid w:val="003F253D"/>
    <w:pPr>
      <w:numPr>
        <w:ilvl w:val="7"/>
        <w:numId w:val="9"/>
      </w:numPr>
      <w:contextualSpacing/>
    </w:pPr>
    <w:rPr>
      <w:color w:val="5B5D62" w:themeColor="accent6" w:themeShade="80"/>
    </w:rPr>
  </w:style>
  <w:style w:type="paragraph" w:customStyle="1" w:styleId="Subpara3">
    <w:name w:val="Subpara 3"/>
    <w:basedOn w:val="Heading9"/>
    <w:next w:val="Normal"/>
    <w:uiPriority w:val="1"/>
    <w:qFormat/>
    <w:rsid w:val="003F253D"/>
    <w:pPr>
      <w:numPr>
        <w:ilvl w:val="8"/>
        <w:numId w:val="9"/>
      </w:numPr>
      <w:contextualSpacing/>
    </w:pPr>
    <w:rPr>
      <w:color w:val="5B5D62" w:themeColor="accent6" w:themeShade="80"/>
    </w:rPr>
  </w:style>
  <w:style w:type="table" w:styleId="TableGrid">
    <w:name w:val="Table Grid"/>
    <w:basedOn w:val="TableNormal"/>
    <w:uiPriority w:val="59"/>
    <w:rsid w:val="003F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Table">
    <w:name w:val="CA_Table"/>
    <w:basedOn w:val="TableNormal"/>
    <w:uiPriority w:val="99"/>
    <w:rsid w:val="00CA3282"/>
    <w:pPr>
      <w:spacing w:after="0" w:line="240" w:lineRule="auto"/>
    </w:p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tcPr>
      <w:shd w:val="clear" w:color="auto" w:fill="F1F1F2" w:themeFill="accent6" w:themeFillTint="33"/>
    </w:tcPr>
    <w:tblStylePr w:type="firstRow">
      <w:pPr>
        <w:jc w:val="left"/>
      </w:pPr>
      <w:rPr>
        <w:b w:val="0"/>
        <w:caps w:val="0"/>
        <w:smallCaps w:val="0"/>
        <w:color w:val="auto"/>
      </w:rPr>
      <w:tblPr/>
      <w:trPr>
        <w:tblHeader/>
      </w:trPr>
      <w:tcPr>
        <w:shd w:val="clear" w:color="auto" w:fill="1ED2E6" w:themeFill="accent1"/>
        <w:vAlign w:val="bottom"/>
      </w:tcPr>
    </w:tblStylePr>
    <w:tblStylePr w:type="lastRow">
      <w:rPr>
        <w:b/>
      </w:rPr>
    </w:tblStylePr>
    <w:tblStylePr w:type="firstCol">
      <w:tblPr/>
      <w:tcPr>
        <w:shd w:val="clear" w:color="auto" w:fill="C9C9C9"/>
      </w:tcPr>
    </w:tblStylePr>
  </w:style>
  <w:style w:type="paragraph" w:customStyle="1" w:styleId="Tabletext">
    <w:name w:val="Table text"/>
    <w:basedOn w:val="Normal"/>
    <w:uiPriority w:val="2"/>
    <w:qFormat/>
    <w:rsid w:val="003F253D"/>
    <w:pPr>
      <w:spacing w:before="60" w:after="60" w:line="264" w:lineRule="auto"/>
    </w:pPr>
    <w:rPr>
      <w:color w:val="5B5D62" w:themeColor="accent6" w:themeShade="80"/>
    </w:rPr>
  </w:style>
  <w:style w:type="paragraph" w:customStyle="1" w:styleId="Tablenumbers">
    <w:name w:val="Table numbers"/>
    <w:basedOn w:val="Tabletext"/>
    <w:qFormat/>
    <w:rsid w:val="003F253D"/>
    <w:pPr>
      <w:jc w:val="right"/>
    </w:pPr>
  </w:style>
  <w:style w:type="table" w:customStyle="1" w:styleId="CABlank">
    <w:name w:val="CA_Blank"/>
    <w:basedOn w:val="TableNormal"/>
    <w:uiPriority w:val="99"/>
    <w:rsid w:val="003F253D"/>
    <w:pPr>
      <w:spacing w:after="0" w:line="240" w:lineRule="auto"/>
    </w:pPr>
    <w:tblPr>
      <w:tblCellMar>
        <w:left w:w="0" w:type="dxa"/>
        <w:right w:w="0" w:type="dxa"/>
      </w:tblCellMar>
    </w:tblPr>
  </w:style>
  <w:style w:type="paragraph" w:styleId="BodyText">
    <w:name w:val="Body Text"/>
    <w:basedOn w:val="Normal"/>
    <w:link w:val="BodyTextChar"/>
    <w:qFormat/>
    <w:rsid w:val="003F253D"/>
    <w:rPr>
      <w:color w:val="5B5D62" w:themeColor="accent6" w:themeShade="80"/>
    </w:rPr>
  </w:style>
  <w:style w:type="character" w:customStyle="1" w:styleId="BodyTextChar">
    <w:name w:val="Body Text Char"/>
    <w:basedOn w:val="DefaultParagraphFont"/>
    <w:link w:val="BodyText"/>
    <w:rsid w:val="006C2166"/>
    <w:rPr>
      <w:color w:val="5B5D62" w:themeColor="accent6" w:themeShade="80"/>
      <w:sz w:val="20"/>
      <w:szCs w:val="18"/>
      <w:lang w:val="en-GB"/>
    </w:rPr>
  </w:style>
  <w:style w:type="paragraph" w:customStyle="1" w:styleId="Tablenumbersheading">
    <w:name w:val="Table numbers (heading)"/>
    <w:basedOn w:val="Tablenumbers"/>
    <w:qFormat/>
    <w:rsid w:val="003F253D"/>
    <w:rPr>
      <w:b/>
      <w:color w:val="FFFFFF" w:themeColor="background1"/>
    </w:rPr>
  </w:style>
  <w:style w:type="paragraph" w:customStyle="1" w:styleId="Tabletextheading">
    <w:name w:val="Table text (heading)"/>
    <w:basedOn w:val="Tabletext"/>
    <w:uiPriority w:val="2"/>
    <w:qFormat/>
    <w:rsid w:val="003F253D"/>
    <w:rPr>
      <w:b/>
      <w:color w:val="FFFFFF" w:themeColor="background1"/>
    </w:rPr>
  </w:style>
  <w:style w:type="paragraph" w:styleId="NoSpacing">
    <w:name w:val="No Spacing"/>
    <w:uiPriority w:val="3"/>
    <w:qFormat/>
    <w:rsid w:val="003F253D"/>
    <w:pPr>
      <w:spacing w:after="0" w:line="240" w:lineRule="auto"/>
    </w:pPr>
    <w:rPr>
      <w:color w:val="5B5D62" w:themeColor="accent6" w:themeShade="80"/>
      <w:sz w:val="18"/>
      <w:szCs w:val="18"/>
      <w:lang w:val="en-GB"/>
    </w:rPr>
  </w:style>
  <w:style w:type="paragraph" w:customStyle="1" w:styleId="Layoutspacer">
    <w:name w:val="Layout spacer"/>
    <w:basedOn w:val="BodyText"/>
    <w:uiPriority w:val="99"/>
    <w:rsid w:val="003F253D"/>
    <w:pPr>
      <w:spacing w:before="0" w:line="240" w:lineRule="auto"/>
    </w:pPr>
    <w:rPr>
      <w:vanish/>
      <w:color w:val="C00000"/>
    </w:rPr>
  </w:style>
  <w:style w:type="character" w:styleId="PlaceholderText">
    <w:name w:val="Placeholder Text"/>
    <w:basedOn w:val="DefaultParagraphFont"/>
    <w:uiPriority w:val="99"/>
    <w:semiHidden/>
    <w:rsid w:val="003F253D"/>
    <w:rPr>
      <w:color w:val="808080"/>
    </w:rPr>
  </w:style>
  <w:style w:type="paragraph" w:styleId="Caption">
    <w:name w:val="caption"/>
    <w:basedOn w:val="Normal"/>
    <w:next w:val="Normal"/>
    <w:uiPriority w:val="3"/>
    <w:qFormat/>
    <w:rsid w:val="003F253D"/>
    <w:pPr>
      <w:spacing w:before="0" w:after="200" w:line="240" w:lineRule="auto"/>
    </w:pPr>
    <w:rPr>
      <w:iCs/>
      <w:color w:val="1ED2E6" w:themeColor="accent1"/>
    </w:rPr>
  </w:style>
  <w:style w:type="paragraph" w:styleId="TOCHeading">
    <w:name w:val="TOC Heading"/>
    <w:basedOn w:val="Heading1"/>
    <w:next w:val="Normal"/>
    <w:uiPriority w:val="99"/>
    <w:semiHidden/>
    <w:qFormat/>
    <w:rsid w:val="003F253D"/>
    <w:pPr>
      <w:numPr>
        <w:numId w:val="0"/>
      </w:numPr>
      <w:spacing w:before="0" w:after="600" w:line="312" w:lineRule="auto"/>
      <w:outlineLvl w:val="9"/>
    </w:pPr>
    <w:rPr>
      <w:rFonts w:asciiTheme="majorHAnsi" w:eastAsiaTheme="majorEastAsia" w:hAnsiTheme="majorHAnsi" w:cstheme="majorBidi"/>
      <w:caps w:val="0"/>
      <w:sz w:val="60"/>
      <w:szCs w:val="60"/>
    </w:rPr>
  </w:style>
  <w:style w:type="paragraph" w:styleId="TOC1">
    <w:name w:val="toc 1"/>
    <w:basedOn w:val="Normal"/>
    <w:next w:val="Normal"/>
    <w:autoRedefine/>
    <w:uiPriority w:val="39"/>
    <w:semiHidden/>
    <w:rsid w:val="003F253D"/>
    <w:pPr>
      <w:tabs>
        <w:tab w:val="right" w:leader="dot" w:pos="9854"/>
      </w:tabs>
      <w:spacing w:after="40"/>
    </w:pPr>
    <w:rPr>
      <w:b/>
      <w:caps/>
      <w:color w:val="1ED2E6" w:themeColor="accent1"/>
      <w:sz w:val="22"/>
      <w:szCs w:val="22"/>
    </w:rPr>
  </w:style>
  <w:style w:type="paragraph" w:styleId="TOC2">
    <w:name w:val="toc 2"/>
    <w:basedOn w:val="Normal"/>
    <w:next w:val="Normal"/>
    <w:autoRedefine/>
    <w:uiPriority w:val="39"/>
    <w:semiHidden/>
    <w:rsid w:val="003F253D"/>
    <w:pPr>
      <w:tabs>
        <w:tab w:val="left" w:pos="660"/>
        <w:tab w:val="right" w:leader="dot" w:pos="9854"/>
      </w:tabs>
      <w:spacing w:before="40" w:after="40"/>
      <w:ind w:left="180"/>
    </w:pPr>
    <w:rPr>
      <w:color w:val="5B5D62" w:themeColor="accent6" w:themeShade="80"/>
    </w:rPr>
  </w:style>
  <w:style w:type="paragraph" w:styleId="TOC3">
    <w:name w:val="toc 3"/>
    <w:basedOn w:val="Normal"/>
    <w:next w:val="Normal"/>
    <w:autoRedefine/>
    <w:uiPriority w:val="39"/>
    <w:semiHidden/>
    <w:rsid w:val="003F253D"/>
    <w:pPr>
      <w:tabs>
        <w:tab w:val="left" w:pos="1100"/>
        <w:tab w:val="right" w:leader="dot" w:pos="9854"/>
      </w:tabs>
      <w:spacing w:before="40" w:after="40"/>
      <w:ind w:left="360"/>
    </w:pPr>
    <w:rPr>
      <w:color w:val="5B5D62" w:themeColor="accent6" w:themeShade="80"/>
    </w:rPr>
  </w:style>
  <w:style w:type="character" w:styleId="Hyperlink">
    <w:name w:val="Hyperlink"/>
    <w:basedOn w:val="DefaultParagraphFont"/>
    <w:uiPriority w:val="99"/>
    <w:unhideWhenUsed/>
    <w:rsid w:val="003F253D"/>
    <w:rPr>
      <w:color w:val="1ED2E6" w:themeColor="hyperlink"/>
      <w:u w:val="single"/>
    </w:rPr>
  </w:style>
  <w:style w:type="character" w:customStyle="1" w:styleId="Accentcolour1">
    <w:name w:val="*Accent colour 1"/>
    <w:basedOn w:val="DefaultParagraphFont"/>
    <w:uiPriority w:val="99"/>
    <w:qFormat/>
    <w:rsid w:val="003F253D"/>
    <w:rPr>
      <w:color w:val="1ED2E6" w:themeColor="accent1"/>
    </w:rPr>
  </w:style>
  <w:style w:type="character" w:customStyle="1" w:styleId="Accentcolour1bold">
    <w:name w:val="*Accent colour 1 (bold)"/>
    <w:basedOn w:val="Accentcolour1"/>
    <w:uiPriority w:val="99"/>
    <w:qFormat/>
    <w:rsid w:val="003F253D"/>
    <w:rPr>
      <w:b/>
      <w:color w:val="1ED2E6" w:themeColor="accent1"/>
    </w:rPr>
  </w:style>
  <w:style w:type="character" w:customStyle="1" w:styleId="Accentcolour2">
    <w:name w:val="*Accent colour 2"/>
    <w:basedOn w:val="DefaultParagraphFont"/>
    <w:uiPriority w:val="99"/>
    <w:qFormat/>
    <w:rsid w:val="003F253D"/>
    <w:rPr>
      <w:color w:val="28A0BF" w:themeColor="accent2"/>
    </w:rPr>
  </w:style>
  <w:style w:type="character" w:customStyle="1" w:styleId="Accentcolour2bold">
    <w:name w:val="*Accent colour 2 (bold)"/>
    <w:basedOn w:val="Accentcolour2"/>
    <w:uiPriority w:val="99"/>
    <w:qFormat/>
    <w:rsid w:val="003F253D"/>
    <w:rPr>
      <w:b/>
      <w:color w:val="28A0BF" w:themeColor="accent2"/>
    </w:rPr>
  </w:style>
  <w:style w:type="character" w:customStyle="1" w:styleId="Accentcolour3">
    <w:name w:val="*Accent colour 3"/>
    <w:basedOn w:val="DefaultParagraphFont"/>
    <w:uiPriority w:val="99"/>
    <w:qFormat/>
    <w:rsid w:val="003F253D"/>
    <w:rPr>
      <w:color w:val="025B7A" w:themeColor="accent3"/>
    </w:rPr>
  </w:style>
  <w:style w:type="character" w:customStyle="1" w:styleId="Accentcolour3bold">
    <w:name w:val="*Accent colour 3 (bold)"/>
    <w:basedOn w:val="Accentcolour3"/>
    <w:uiPriority w:val="99"/>
    <w:qFormat/>
    <w:rsid w:val="003F253D"/>
    <w:rPr>
      <w:b/>
      <w:color w:val="025B7A" w:themeColor="accent3"/>
    </w:rPr>
  </w:style>
  <w:style w:type="character" w:customStyle="1" w:styleId="Accentcolour4">
    <w:name w:val="*Accent colour 4"/>
    <w:basedOn w:val="DefaultParagraphFont"/>
    <w:uiPriority w:val="99"/>
    <w:qFormat/>
    <w:rsid w:val="003F253D"/>
    <w:rPr>
      <w:color w:val="063246" w:themeColor="accent4"/>
    </w:rPr>
  </w:style>
  <w:style w:type="character" w:customStyle="1" w:styleId="Accentcolour4bold">
    <w:name w:val="*Accent colour 4 (bold)"/>
    <w:basedOn w:val="Accentcolour4"/>
    <w:uiPriority w:val="99"/>
    <w:qFormat/>
    <w:rsid w:val="003F253D"/>
    <w:rPr>
      <w:b/>
      <w:color w:val="063246" w:themeColor="accent4"/>
    </w:rPr>
  </w:style>
  <w:style w:type="character" w:customStyle="1" w:styleId="Accentcolour5">
    <w:name w:val="*Accent colour 5"/>
    <w:basedOn w:val="DefaultParagraphFont"/>
    <w:uiPriority w:val="99"/>
    <w:qFormat/>
    <w:rsid w:val="003F253D"/>
    <w:rPr>
      <w:color w:val="92E9F5" w:themeColor="accent5"/>
    </w:rPr>
  </w:style>
  <w:style w:type="character" w:customStyle="1" w:styleId="Accentcolour5bold">
    <w:name w:val="*Accent colour 5 (bold)"/>
    <w:basedOn w:val="Accentcolour5"/>
    <w:uiPriority w:val="99"/>
    <w:qFormat/>
    <w:rsid w:val="003F253D"/>
    <w:rPr>
      <w:b/>
      <w:color w:val="92E9F5" w:themeColor="accent5"/>
    </w:rPr>
  </w:style>
  <w:style w:type="character" w:customStyle="1" w:styleId="Accentcolour6">
    <w:name w:val="*Accent colour 6"/>
    <w:basedOn w:val="DefaultParagraphFont"/>
    <w:uiPriority w:val="99"/>
    <w:qFormat/>
    <w:rsid w:val="003F253D"/>
    <w:rPr>
      <w:color w:val="BABCBF" w:themeColor="accent6"/>
    </w:rPr>
  </w:style>
  <w:style w:type="character" w:customStyle="1" w:styleId="Accentcolour6bold">
    <w:name w:val="*Accent colour 6 (bold)"/>
    <w:basedOn w:val="Accentcolour6"/>
    <w:uiPriority w:val="99"/>
    <w:qFormat/>
    <w:rsid w:val="003F253D"/>
    <w:rPr>
      <w:b/>
      <w:color w:val="BABCBF" w:themeColor="accent6"/>
    </w:rPr>
  </w:style>
  <w:style w:type="character" w:customStyle="1" w:styleId="ALLCAPS">
    <w:name w:val="*ALL CAPS"/>
    <w:basedOn w:val="DefaultParagraphFont"/>
    <w:uiPriority w:val="99"/>
    <w:qFormat/>
    <w:rsid w:val="003F253D"/>
    <w:rPr>
      <w:caps/>
      <w:smallCaps w:val="0"/>
    </w:rPr>
  </w:style>
  <w:style w:type="character" w:customStyle="1" w:styleId="Subscript">
    <w:name w:val="*Subscript"/>
    <w:basedOn w:val="DefaultParagraphFont"/>
    <w:uiPriority w:val="99"/>
    <w:qFormat/>
    <w:rsid w:val="003F253D"/>
    <w:rPr>
      <w:vertAlign w:val="subscript"/>
    </w:rPr>
  </w:style>
  <w:style w:type="character" w:customStyle="1" w:styleId="Superscript">
    <w:name w:val="*Superscript"/>
    <w:basedOn w:val="DefaultParagraphFont"/>
    <w:uiPriority w:val="99"/>
    <w:qFormat/>
    <w:rsid w:val="003F253D"/>
    <w:rPr>
      <w:vertAlign w:val="superscript"/>
    </w:rPr>
  </w:style>
  <w:style w:type="paragraph" w:styleId="Quote">
    <w:name w:val="Quote"/>
    <w:basedOn w:val="BodyText"/>
    <w:next w:val="Normal"/>
    <w:link w:val="QuoteChar"/>
    <w:uiPriority w:val="3"/>
    <w:qFormat/>
    <w:rsid w:val="003F253D"/>
    <w:pPr>
      <w:framePr w:w="3402" w:hSpace="454" w:wrap="around" w:vAnchor="text" w:hAnchor="margin" w:xAlign="right" w:y="1"/>
      <w:pBdr>
        <w:top w:val="dotted" w:sz="6" w:space="12" w:color="auto"/>
        <w:bottom w:val="dotted" w:sz="6" w:space="4" w:color="auto"/>
      </w:pBdr>
      <w:spacing w:after="160" w:line="264" w:lineRule="auto"/>
    </w:pPr>
    <w:rPr>
      <w:b/>
      <w:bCs/>
      <w:sz w:val="24"/>
      <w:szCs w:val="24"/>
    </w:rPr>
  </w:style>
  <w:style w:type="character" w:customStyle="1" w:styleId="QuoteChar">
    <w:name w:val="Quote Char"/>
    <w:basedOn w:val="DefaultParagraphFont"/>
    <w:link w:val="Quote"/>
    <w:uiPriority w:val="3"/>
    <w:rsid w:val="006C2166"/>
    <w:rPr>
      <w:b/>
      <w:bCs/>
      <w:color w:val="5B5D62" w:themeColor="accent6" w:themeShade="80"/>
      <w:sz w:val="24"/>
      <w:szCs w:val="24"/>
      <w:lang w:val="en-GB"/>
    </w:rPr>
  </w:style>
  <w:style w:type="paragraph" w:customStyle="1" w:styleId="Tablenotesorsource">
    <w:name w:val="Table notes or source"/>
    <w:basedOn w:val="BodyText"/>
    <w:qFormat/>
    <w:rsid w:val="003F253D"/>
    <w:pPr>
      <w:numPr>
        <w:numId w:val="10"/>
      </w:numPr>
    </w:pPr>
    <w:rPr>
      <w:sz w:val="16"/>
      <w:szCs w:val="16"/>
    </w:rPr>
  </w:style>
  <w:style w:type="paragraph" w:customStyle="1" w:styleId="Tablenotenumbers">
    <w:name w:val="Table note numbers"/>
    <w:basedOn w:val="BodyText"/>
    <w:qFormat/>
    <w:rsid w:val="003F253D"/>
    <w:pPr>
      <w:numPr>
        <w:ilvl w:val="1"/>
        <w:numId w:val="10"/>
      </w:numPr>
      <w:spacing w:before="40" w:after="40"/>
    </w:pPr>
    <w:rPr>
      <w:sz w:val="16"/>
      <w:szCs w:val="16"/>
    </w:rPr>
  </w:style>
  <w:style w:type="character" w:customStyle="1" w:styleId="Whitetext">
    <w:name w:val="*White text"/>
    <w:basedOn w:val="DefaultParagraphFont"/>
    <w:uiPriority w:val="99"/>
    <w:qFormat/>
    <w:rsid w:val="003F253D"/>
    <w:rPr>
      <w:color w:val="FFFFFF" w:themeColor="background1"/>
    </w:rPr>
  </w:style>
  <w:style w:type="character" w:customStyle="1" w:styleId="Companyfooter">
    <w:name w:val="*Company footer"/>
    <w:basedOn w:val="Accentcolour1bold"/>
    <w:uiPriority w:val="99"/>
    <w:qFormat/>
    <w:rsid w:val="003F253D"/>
    <w:rPr>
      <w:b/>
      <w:caps/>
      <w:color w:val="1ED2E6" w:themeColor="accent1"/>
    </w:rPr>
  </w:style>
  <w:style w:type="paragraph" w:styleId="ListNumber">
    <w:name w:val="List Number"/>
    <w:basedOn w:val="Normal"/>
    <w:qFormat/>
    <w:rsid w:val="002A699A"/>
    <w:pPr>
      <w:numPr>
        <w:numId w:val="6"/>
      </w:numPr>
      <w:ind w:left="227" w:hanging="227"/>
      <w:contextualSpacing/>
    </w:pPr>
    <w:rPr>
      <w:color w:val="5B5D62" w:themeColor="accent6" w:themeShade="80"/>
    </w:rPr>
  </w:style>
  <w:style w:type="paragraph" w:styleId="ListNumber2">
    <w:name w:val="List Number 2"/>
    <w:basedOn w:val="Normal"/>
    <w:qFormat/>
    <w:rsid w:val="002A699A"/>
    <w:pPr>
      <w:numPr>
        <w:numId w:val="7"/>
      </w:numPr>
      <w:ind w:left="454" w:hanging="227"/>
      <w:contextualSpacing/>
    </w:pPr>
    <w:rPr>
      <w:color w:val="5B5D62" w:themeColor="accent6" w:themeShade="80"/>
    </w:rPr>
  </w:style>
  <w:style w:type="paragraph" w:styleId="ListNumber3">
    <w:name w:val="List Number 3"/>
    <w:basedOn w:val="Normal"/>
    <w:qFormat/>
    <w:rsid w:val="002A699A"/>
    <w:pPr>
      <w:numPr>
        <w:numId w:val="8"/>
      </w:numPr>
      <w:ind w:left="681" w:hanging="227"/>
      <w:contextualSpacing/>
    </w:pPr>
    <w:rPr>
      <w:color w:val="5B5D62" w:themeColor="accent6" w:themeShade="80"/>
    </w:rPr>
  </w:style>
  <w:style w:type="paragraph" w:customStyle="1" w:styleId="Addressandname">
    <w:name w:val="Address and name"/>
    <w:basedOn w:val="BodyText"/>
    <w:uiPriority w:val="99"/>
    <w:semiHidden/>
    <w:rsid w:val="003F253D"/>
    <w:pPr>
      <w:spacing w:after="480" w:line="264" w:lineRule="auto"/>
      <w:contextualSpacing/>
    </w:pPr>
    <w:rPr>
      <w:color w:val="1ED2E6" w:themeColor="accent1"/>
    </w:rPr>
  </w:style>
  <w:style w:type="paragraph" w:customStyle="1" w:styleId="Header1">
    <w:name w:val="Header 1"/>
    <w:basedOn w:val="Heading1"/>
    <w:next w:val="Normal"/>
    <w:uiPriority w:val="1"/>
    <w:qFormat/>
    <w:rsid w:val="003F253D"/>
    <w:pPr>
      <w:numPr>
        <w:numId w:val="0"/>
      </w:numPr>
    </w:pPr>
  </w:style>
  <w:style w:type="paragraph" w:customStyle="1" w:styleId="AppendixHeading1">
    <w:name w:val="Appendix Heading 1"/>
    <w:basedOn w:val="Header1"/>
    <w:uiPriority w:val="2"/>
    <w:qFormat/>
    <w:rsid w:val="003F253D"/>
    <w:pPr>
      <w:numPr>
        <w:numId w:val="4"/>
      </w:numPr>
    </w:pPr>
  </w:style>
  <w:style w:type="paragraph" w:customStyle="1" w:styleId="Header2">
    <w:name w:val="Header 2"/>
    <w:basedOn w:val="Heading2"/>
    <w:next w:val="Normal"/>
    <w:uiPriority w:val="1"/>
    <w:qFormat/>
    <w:rsid w:val="003F253D"/>
    <w:pPr>
      <w:numPr>
        <w:ilvl w:val="0"/>
        <w:numId w:val="0"/>
      </w:numPr>
    </w:pPr>
  </w:style>
  <w:style w:type="paragraph" w:customStyle="1" w:styleId="AppendixHeading2">
    <w:name w:val="Appendix Heading 2"/>
    <w:basedOn w:val="Header2"/>
    <w:uiPriority w:val="2"/>
    <w:qFormat/>
    <w:rsid w:val="003F253D"/>
    <w:pPr>
      <w:numPr>
        <w:ilvl w:val="1"/>
        <w:numId w:val="4"/>
      </w:numPr>
    </w:pPr>
  </w:style>
  <w:style w:type="paragraph" w:customStyle="1" w:styleId="Header3">
    <w:name w:val="Header 3"/>
    <w:basedOn w:val="Heading3"/>
    <w:next w:val="Normal"/>
    <w:uiPriority w:val="1"/>
    <w:qFormat/>
    <w:rsid w:val="003F253D"/>
    <w:pPr>
      <w:numPr>
        <w:ilvl w:val="0"/>
        <w:numId w:val="0"/>
      </w:numPr>
    </w:pPr>
  </w:style>
  <w:style w:type="paragraph" w:customStyle="1" w:styleId="AppendixHeading3">
    <w:name w:val="Appendix Heading 3"/>
    <w:basedOn w:val="Header3"/>
    <w:uiPriority w:val="2"/>
    <w:qFormat/>
    <w:rsid w:val="003F253D"/>
    <w:pPr>
      <w:numPr>
        <w:ilvl w:val="2"/>
        <w:numId w:val="4"/>
      </w:numPr>
    </w:pPr>
  </w:style>
  <w:style w:type="paragraph" w:customStyle="1" w:styleId="Header4">
    <w:name w:val="Header 4"/>
    <w:basedOn w:val="Heading4"/>
    <w:next w:val="Normal"/>
    <w:uiPriority w:val="1"/>
    <w:qFormat/>
    <w:rsid w:val="003F253D"/>
    <w:pPr>
      <w:numPr>
        <w:ilvl w:val="0"/>
        <w:numId w:val="0"/>
      </w:numPr>
    </w:pPr>
  </w:style>
  <w:style w:type="paragraph" w:customStyle="1" w:styleId="AppendixHeading4">
    <w:name w:val="Appendix Heading 4"/>
    <w:basedOn w:val="Header4"/>
    <w:uiPriority w:val="2"/>
    <w:qFormat/>
    <w:rsid w:val="003F253D"/>
    <w:pPr>
      <w:numPr>
        <w:ilvl w:val="3"/>
        <w:numId w:val="4"/>
      </w:numPr>
    </w:pPr>
  </w:style>
  <w:style w:type="paragraph" w:customStyle="1" w:styleId="Header5">
    <w:name w:val="Header 5"/>
    <w:basedOn w:val="Heading5"/>
    <w:next w:val="Normal"/>
    <w:uiPriority w:val="1"/>
    <w:qFormat/>
    <w:rsid w:val="003F253D"/>
    <w:pPr>
      <w:numPr>
        <w:ilvl w:val="0"/>
        <w:numId w:val="0"/>
      </w:numPr>
    </w:pPr>
  </w:style>
  <w:style w:type="paragraph" w:customStyle="1" w:styleId="AppendixHeading5">
    <w:name w:val="Appendix Heading 5"/>
    <w:basedOn w:val="Header5"/>
    <w:uiPriority w:val="2"/>
    <w:qFormat/>
    <w:rsid w:val="003F253D"/>
    <w:pPr>
      <w:numPr>
        <w:ilvl w:val="4"/>
        <w:numId w:val="4"/>
      </w:numPr>
    </w:pPr>
  </w:style>
  <w:style w:type="paragraph" w:customStyle="1" w:styleId="Header6">
    <w:name w:val="Header 6"/>
    <w:basedOn w:val="Heading6"/>
    <w:next w:val="Normal"/>
    <w:uiPriority w:val="1"/>
    <w:qFormat/>
    <w:rsid w:val="003F253D"/>
    <w:pPr>
      <w:numPr>
        <w:ilvl w:val="0"/>
        <w:numId w:val="0"/>
      </w:numPr>
    </w:pPr>
  </w:style>
  <w:style w:type="paragraph" w:customStyle="1" w:styleId="AppendixHeading6">
    <w:name w:val="Appendix Heading 6"/>
    <w:basedOn w:val="Header6"/>
    <w:uiPriority w:val="2"/>
    <w:qFormat/>
    <w:rsid w:val="003F253D"/>
    <w:pPr>
      <w:numPr>
        <w:ilvl w:val="5"/>
        <w:numId w:val="4"/>
      </w:numPr>
    </w:pPr>
  </w:style>
  <w:style w:type="paragraph" w:customStyle="1" w:styleId="AppendixPara1">
    <w:name w:val="Appendix Para 1"/>
    <w:basedOn w:val="Tabletext"/>
    <w:uiPriority w:val="2"/>
    <w:qFormat/>
    <w:rsid w:val="003F253D"/>
    <w:pPr>
      <w:numPr>
        <w:ilvl w:val="6"/>
        <w:numId w:val="4"/>
      </w:numPr>
      <w:spacing w:before="160" w:after="0" w:line="312" w:lineRule="auto"/>
      <w:contextualSpacing/>
    </w:pPr>
  </w:style>
  <w:style w:type="paragraph" w:customStyle="1" w:styleId="AppendixPara2">
    <w:name w:val="Appendix Para 2"/>
    <w:basedOn w:val="Tabletext"/>
    <w:uiPriority w:val="2"/>
    <w:qFormat/>
    <w:rsid w:val="003F253D"/>
    <w:pPr>
      <w:numPr>
        <w:ilvl w:val="7"/>
        <w:numId w:val="4"/>
      </w:numPr>
      <w:spacing w:before="160" w:after="0" w:line="312" w:lineRule="auto"/>
      <w:contextualSpacing/>
    </w:pPr>
  </w:style>
  <w:style w:type="paragraph" w:customStyle="1" w:styleId="AppendixPara3">
    <w:name w:val="Appendix Para 3"/>
    <w:basedOn w:val="Tabletext"/>
    <w:uiPriority w:val="2"/>
    <w:qFormat/>
    <w:rsid w:val="003F253D"/>
    <w:pPr>
      <w:numPr>
        <w:ilvl w:val="8"/>
        <w:numId w:val="4"/>
      </w:numPr>
      <w:spacing w:before="160" w:after="0" w:line="312" w:lineRule="auto"/>
      <w:contextualSpacing/>
    </w:pPr>
  </w:style>
  <w:style w:type="paragraph" w:customStyle="1" w:styleId="Coverdate">
    <w:name w:val="Cover date"/>
    <w:basedOn w:val="Normal"/>
    <w:uiPriority w:val="99"/>
    <w:rsid w:val="003F253D"/>
    <w:rPr>
      <w:b/>
      <w:bCs/>
      <w:color w:val="888C91" w:themeColor="accent6" w:themeShade="BF"/>
      <w:sz w:val="24"/>
      <w:szCs w:val="24"/>
    </w:rPr>
  </w:style>
  <w:style w:type="paragraph" w:styleId="Date">
    <w:name w:val="Date"/>
    <w:basedOn w:val="BodyText"/>
    <w:next w:val="Normal"/>
    <w:link w:val="DateChar"/>
    <w:uiPriority w:val="99"/>
    <w:semiHidden/>
    <w:rsid w:val="003F253D"/>
    <w:pPr>
      <w:spacing w:before="0" w:after="480"/>
    </w:pPr>
  </w:style>
  <w:style w:type="character" w:customStyle="1" w:styleId="DateChar">
    <w:name w:val="Date Char"/>
    <w:basedOn w:val="DefaultParagraphFont"/>
    <w:link w:val="Date"/>
    <w:uiPriority w:val="99"/>
    <w:semiHidden/>
    <w:rsid w:val="006C2166"/>
    <w:rPr>
      <w:color w:val="5B5D62" w:themeColor="accent6" w:themeShade="80"/>
      <w:sz w:val="20"/>
      <w:szCs w:val="18"/>
      <w:lang w:val="en-GB"/>
    </w:rPr>
  </w:style>
  <w:style w:type="paragraph" w:customStyle="1" w:styleId="Letterheadheader">
    <w:name w:val="Letterhead header"/>
    <w:basedOn w:val="Addressandname"/>
    <w:uiPriority w:val="99"/>
    <w:semiHidden/>
    <w:rsid w:val="003F253D"/>
    <w:pPr>
      <w:spacing w:after="0"/>
      <w:contextualSpacing w:val="0"/>
    </w:pPr>
  </w:style>
  <w:style w:type="paragraph" w:styleId="Signature">
    <w:name w:val="Signature"/>
    <w:basedOn w:val="BodyText"/>
    <w:link w:val="SignatureChar"/>
    <w:uiPriority w:val="99"/>
    <w:semiHidden/>
    <w:rsid w:val="003F253D"/>
    <w:pPr>
      <w:spacing w:before="1200" w:line="240" w:lineRule="auto"/>
      <w:contextualSpacing/>
    </w:pPr>
  </w:style>
  <w:style w:type="character" w:customStyle="1" w:styleId="SignatureChar">
    <w:name w:val="Signature Char"/>
    <w:basedOn w:val="DefaultParagraphFont"/>
    <w:link w:val="Signature"/>
    <w:uiPriority w:val="99"/>
    <w:semiHidden/>
    <w:rsid w:val="006C2166"/>
    <w:rPr>
      <w:color w:val="5B5D62" w:themeColor="accent6" w:themeShade="80"/>
      <w:sz w:val="20"/>
      <w:szCs w:val="18"/>
      <w:lang w:val="en-GB"/>
    </w:rPr>
  </w:style>
  <w:style w:type="paragraph" w:customStyle="1" w:styleId="Signoff">
    <w:name w:val="Sign off"/>
    <w:basedOn w:val="Signature"/>
    <w:uiPriority w:val="99"/>
    <w:semiHidden/>
    <w:rsid w:val="003F253D"/>
    <w:pPr>
      <w:spacing w:before="360"/>
    </w:pPr>
  </w:style>
  <w:style w:type="paragraph" w:customStyle="1" w:styleId="Subject">
    <w:name w:val="Subject"/>
    <w:basedOn w:val="BodyText"/>
    <w:uiPriority w:val="99"/>
    <w:semiHidden/>
    <w:rsid w:val="003F253D"/>
    <w:pPr>
      <w:spacing w:after="160"/>
    </w:pPr>
    <w:rPr>
      <w:color w:val="1ED2E6" w:themeColor="accent1"/>
      <w:szCs w:val="16"/>
    </w:rPr>
  </w:style>
  <w:style w:type="character" w:styleId="UnresolvedMention">
    <w:name w:val="Unresolved Mention"/>
    <w:basedOn w:val="DefaultParagraphFont"/>
    <w:uiPriority w:val="99"/>
    <w:semiHidden/>
    <w:unhideWhenUsed/>
    <w:rsid w:val="003C0295"/>
    <w:rPr>
      <w:color w:val="605E5C"/>
      <w:shd w:val="clear" w:color="auto" w:fill="E1DFDD"/>
    </w:rPr>
  </w:style>
  <w:style w:type="paragraph" w:styleId="FootnoteText">
    <w:name w:val="footnote text"/>
    <w:basedOn w:val="Normal"/>
    <w:link w:val="FootnoteTextChar"/>
    <w:uiPriority w:val="99"/>
    <w:semiHidden/>
    <w:unhideWhenUsed/>
    <w:rsid w:val="00000E0A"/>
    <w:pPr>
      <w:spacing w:before="0" w:line="240" w:lineRule="auto"/>
    </w:pPr>
    <w:rPr>
      <w:szCs w:val="20"/>
    </w:rPr>
  </w:style>
  <w:style w:type="character" w:customStyle="1" w:styleId="FootnoteTextChar">
    <w:name w:val="Footnote Text Char"/>
    <w:basedOn w:val="DefaultParagraphFont"/>
    <w:link w:val="FootnoteText"/>
    <w:uiPriority w:val="99"/>
    <w:semiHidden/>
    <w:rsid w:val="00000E0A"/>
    <w:rPr>
      <w:sz w:val="20"/>
      <w:szCs w:val="20"/>
      <w:lang w:val="en-GB"/>
    </w:rPr>
  </w:style>
  <w:style w:type="character" w:styleId="FootnoteReference">
    <w:name w:val="footnote reference"/>
    <w:basedOn w:val="DefaultParagraphFont"/>
    <w:uiPriority w:val="99"/>
    <w:semiHidden/>
    <w:unhideWhenUsed/>
    <w:rsid w:val="00000E0A"/>
    <w:rPr>
      <w:vertAlign w:val="superscript"/>
    </w:rPr>
  </w:style>
  <w:style w:type="paragraph" w:customStyle="1" w:styleId="Default">
    <w:name w:val="Default"/>
    <w:rsid w:val="004338F6"/>
    <w:pPr>
      <w:autoSpaceDE w:val="0"/>
      <w:autoSpaceDN w:val="0"/>
      <w:adjustRightInd w:val="0"/>
      <w:spacing w:after="0" w:line="240" w:lineRule="auto"/>
    </w:pPr>
    <w:rPr>
      <w:rFonts w:ascii="Arial" w:hAnsi="Arial" w:cs="Arial"/>
      <w:color w:val="000000"/>
      <w:sz w:val="24"/>
      <w:szCs w:val="24"/>
    </w:rPr>
  </w:style>
  <w:style w:type="table" w:styleId="GridTable4-Accent2">
    <w:name w:val="Grid Table 4 Accent 2"/>
    <w:basedOn w:val="TableNormal"/>
    <w:uiPriority w:val="49"/>
    <w:rsid w:val="00CA3282"/>
    <w:pPr>
      <w:spacing w:after="0" w:line="240" w:lineRule="auto"/>
    </w:pPr>
    <w:tblPr>
      <w:tblStyleRowBandSize w:val="1"/>
      <w:tblStyleColBandSize w:val="1"/>
      <w:tblBorders>
        <w:top w:val="single" w:sz="4" w:space="0" w:color="74CBE2" w:themeColor="accent2" w:themeTint="99"/>
        <w:left w:val="single" w:sz="4" w:space="0" w:color="74CBE2" w:themeColor="accent2" w:themeTint="99"/>
        <w:bottom w:val="single" w:sz="4" w:space="0" w:color="74CBE2" w:themeColor="accent2" w:themeTint="99"/>
        <w:right w:val="single" w:sz="4" w:space="0" w:color="74CBE2" w:themeColor="accent2" w:themeTint="99"/>
        <w:insideH w:val="single" w:sz="4" w:space="0" w:color="74CBE2" w:themeColor="accent2" w:themeTint="99"/>
        <w:insideV w:val="single" w:sz="4" w:space="0" w:color="74CBE2" w:themeColor="accent2" w:themeTint="99"/>
      </w:tblBorders>
    </w:tblPr>
    <w:tblStylePr w:type="firstRow">
      <w:rPr>
        <w:b/>
        <w:bCs/>
        <w:color w:val="FFFFFF" w:themeColor="background1"/>
      </w:rPr>
      <w:tblPr/>
      <w:tcPr>
        <w:tcBorders>
          <w:top w:val="single" w:sz="4" w:space="0" w:color="28A0BF" w:themeColor="accent2"/>
          <w:left w:val="single" w:sz="4" w:space="0" w:color="28A0BF" w:themeColor="accent2"/>
          <w:bottom w:val="single" w:sz="4" w:space="0" w:color="28A0BF" w:themeColor="accent2"/>
          <w:right w:val="single" w:sz="4" w:space="0" w:color="28A0BF" w:themeColor="accent2"/>
          <w:insideH w:val="nil"/>
          <w:insideV w:val="nil"/>
        </w:tcBorders>
        <w:shd w:val="clear" w:color="auto" w:fill="28A0BF" w:themeFill="accent2"/>
      </w:tcPr>
    </w:tblStylePr>
    <w:tblStylePr w:type="lastRow">
      <w:rPr>
        <w:b/>
        <w:bCs/>
      </w:rPr>
      <w:tblPr/>
      <w:tcPr>
        <w:tcBorders>
          <w:top w:val="double" w:sz="4" w:space="0" w:color="28A0BF" w:themeColor="accent2"/>
        </w:tcBorders>
      </w:tcPr>
    </w:tblStylePr>
    <w:tblStylePr w:type="firstCol">
      <w:rPr>
        <w:b/>
        <w:bCs/>
      </w:rPr>
    </w:tblStylePr>
    <w:tblStylePr w:type="lastCol">
      <w:rPr>
        <w:b/>
        <w:bCs/>
      </w:rPr>
    </w:tblStylePr>
    <w:tblStylePr w:type="band1Vert">
      <w:tblPr/>
      <w:tcPr>
        <w:shd w:val="clear" w:color="auto" w:fill="D0EDF5" w:themeFill="accent2" w:themeFillTint="33"/>
      </w:tcPr>
    </w:tblStylePr>
    <w:tblStylePr w:type="band1Horz">
      <w:tblPr/>
      <w:tcPr>
        <w:shd w:val="clear" w:color="auto" w:fill="D0EDF5" w:themeFill="accent2" w:themeFillTint="33"/>
      </w:tcPr>
    </w:tblStylePr>
  </w:style>
  <w:style w:type="table" w:styleId="GridTable4-Accent1">
    <w:name w:val="Grid Table 4 Accent 1"/>
    <w:basedOn w:val="TableNormal"/>
    <w:uiPriority w:val="49"/>
    <w:rsid w:val="00E713AD"/>
    <w:pPr>
      <w:spacing w:after="0" w:line="240" w:lineRule="auto"/>
    </w:pPr>
    <w:tblPr>
      <w:tblStyleRowBandSize w:val="1"/>
      <w:tblStyleColBandSize w:val="1"/>
      <w:tblBorders>
        <w:top w:val="single" w:sz="4" w:space="0" w:color="78E3F0" w:themeColor="accent1" w:themeTint="99"/>
        <w:left w:val="single" w:sz="4" w:space="0" w:color="78E3F0" w:themeColor="accent1" w:themeTint="99"/>
        <w:bottom w:val="single" w:sz="4" w:space="0" w:color="78E3F0" w:themeColor="accent1" w:themeTint="99"/>
        <w:right w:val="single" w:sz="4" w:space="0" w:color="78E3F0" w:themeColor="accent1" w:themeTint="99"/>
        <w:insideH w:val="single" w:sz="4" w:space="0" w:color="78E3F0" w:themeColor="accent1" w:themeTint="99"/>
        <w:insideV w:val="single" w:sz="4" w:space="0" w:color="78E3F0" w:themeColor="accent1" w:themeTint="99"/>
      </w:tblBorders>
    </w:tblPr>
    <w:tblStylePr w:type="firstRow">
      <w:rPr>
        <w:b/>
        <w:bCs/>
        <w:color w:val="FFFFFF" w:themeColor="background1"/>
      </w:rPr>
      <w:tblPr/>
      <w:tcPr>
        <w:tcBorders>
          <w:top w:val="single" w:sz="4" w:space="0" w:color="1ED2E6" w:themeColor="accent1"/>
          <w:left w:val="single" w:sz="4" w:space="0" w:color="1ED2E6" w:themeColor="accent1"/>
          <w:bottom w:val="single" w:sz="4" w:space="0" w:color="1ED2E6" w:themeColor="accent1"/>
          <w:right w:val="single" w:sz="4" w:space="0" w:color="1ED2E6" w:themeColor="accent1"/>
          <w:insideH w:val="nil"/>
          <w:insideV w:val="nil"/>
        </w:tcBorders>
        <w:shd w:val="clear" w:color="auto" w:fill="1ED2E6" w:themeFill="accent1"/>
      </w:tcPr>
    </w:tblStylePr>
    <w:tblStylePr w:type="lastRow">
      <w:rPr>
        <w:b/>
        <w:bCs/>
      </w:rPr>
      <w:tblPr/>
      <w:tcPr>
        <w:tcBorders>
          <w:top w:val="double" w:sz="4" w:space="0" w:color="1ED2E6" w:themeColor="accent1"/>
        </w:tcBorders>
      </w:tcPr>
    </w:tblStylePr>
    <w:tblStylePr w:type="firstCol">
      <w:rPr>
        <w:b/>
        <w:bCs/>
      </w:rPr>
    </w:tblStylePr>
    <w:tblStylePr w:type="lastCol">
      <w:rPr>
        <w:b/>
        <w:bCs/>
      </w:rPr>
    </w:tblStylePr>
    <w:tblStylePr w:type="band1Vert">
      <w:tblPr/>
      <w:tcPr>
        <w:shd w:val="clear" w:color="auto" w:fill="D2F5FA" w:themeFill="accent1" w:themeFillTint="33"/>
      </w:tcPr>
    </w:tblStylePr>
    <w:tblStylePr w:type="band1Horz">
      <w:tblPr/>
      <w:tcPr>
        <w:shd w:val="clear" w:color="auto" w:fill="D2F5FA" w:themeFill="accent1" w:themeFillTint="33"/>
      </w:tcPr>
    </w:tblStylePr>
  </w:style>
  <w:style w:type="paragraph" w:styleId="NormalWeb">
    <w:name w:val="Normal (Web)"/>
    <w:basedOn w:val="Normal"/>
    <w:uiPriority w:val="99"/>
    <w:unhideWhenUsed/>
    <w:rsid w:val="00590992"/>
    <w:pPr>
      <w:spacing w:before="0" w:line="240" w:lineRule="auto"/>
    </w:pPr>
    <w:rPr>
      <w:rFonts w:ascii="Calibri" w:hAnsi="Calibri" w:cs="Calibri"/>
      <w:sz w:val="22"/>
      <w:szCs w:val="22"/>
      <w:lang w:val="en-AU" w:eastAsia="en-AU"/>
    </w:rPr>
  </w:style>
  <w:style w:type="paragraph" w:styleId="Revision">
    <w:name w:val="Revision"/>
    <w:hidden/>
    <w:uiPriority w:val="99"/>
    <w:semiHidden/>
    <w:rsid w:val="005D1D14"/>
    <w:pPr>
      <w:spacing w:after="0" w:line="240" w:lineRule="auto"/>
    </w:pPr>
    <w:rPr>
      <w:sz w:val="20"/>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Kelly\AppData\Roaming\Microsoft\Templates\CA_document%20with%20block%20head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4E3569320D40E083285BADE8D7555A"/>
        <w:category>
          <w:name w:val="General"/>
          <w:gallery w:val="placeholder"/>
        </w:category>
        <w:types>
          <w:type w:val="bbPlcHdr"/>
        </w:types>
        <w:behaviors>
          <w:behavior w:val="content"/>
        </w:behaviors>
        <w:guid w:val="{AE2FA7A4-A169-43C2-8D25-82D3D1CC8355}"/>
      </w:docPartPr>
      <w:docPartBody>
        <w:p w:rsidR="001F2655" w:rsidRDefault="003815CF">
          <w:pPr>
            <w:pStyle w:val="434E3569320D40E083285BADE8D7555A"/>
          </w:pPr>
          <w:r w:rsidRPr="00A041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CF"/>
    <w:rsid w:val="0000752D"/>
    <w:rsid w:val="001F2655"/>
    <w:rsid w:val="003815CF"/>
    <w:rsid w:val="00383B7A"/>
    <w:rsid w:val="004B6616"/>
    <w:rsid w:val="0061393D"/>
    <w:rsid w:val="00A667B9"/>
    <w:rsid w:val="00CD61F0"/>
    <w:rsid w:val="00DE748A"/>
    <w:rsid w:val="00F5490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4E3569320D40E083285BADE8D7555A">
    <w:name w:val="434E3569320D40E083285BADE8D75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A (primary colours)">
      <a:dk1>
        <a:srgbClr val="5A5B5E"/>
      </a:dk1>
      <a:lt1>
        <a:sysClr val="window" lastClr="FFFFFF"/>
      </a:lt1>
      <a:dk2>
        <a:srgbClr val="063246"/>
      </a:dk2>
      <a:lt2>
        <a:srgbClr val="5A5B5E"/>
      </a:lt2>
      <a:accent1>
        <a:srgbClr val="1ED2E6"/>
      </a:accent1>
      <a:accent2>
        <a:srgbClr val="28A0BF"/>
      </a:accent2>
      <a:accent3>
        <a:srgbClr val="025B7A"/>
      </a:accent3>
      <a:accent4>
        <a:srgbClr val="063246"/>
      </a:accent4>
      <a:accent5>
        <a:srgbClr val="92E9F5"/>
      </a:accent5>
      <a:accent6>
        <a:srgbClr val="BABCBF"/>
      </a:accent6>
      <a:hlink>
        <a:srgbClr val="1ED2E6"/>
      </a:hlink>
      <a:folHlink>
        <a:srgbClr val="28A0BF"/>
      </a:folHlink>
    </a:clrScheme>
    <a:fontScheme name="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lumMod val="50000"/>
            </a:schemeClr>
          </a:solidFill>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428D8453BCA448CC2F35DB62A4E39" ma:contentTypeVersion="18" ma:contentTypeDescription="Create a new document." ma:contentTypeScope="" ma:versionID="68feb7ea9c66d39cf9059adbbad83f3c">
  <xsd:schema xmlns:xsd="http://www.w3.org/2001/XMLSchema" xmlns:xs="http://www.w3.org/2001/XMLSchema" xmlns:p="http://schemas.microsoft.com/office/2006/metadata/properties" xmlns:ns2="829623c0-46fb-43a5-bae2-543d7ba09c02" xmlns:ns3="4481cb67-3781-40ef-adc9-f07a04a9ac7a" targetNamespace="http://schemas.microsoft.com/office/2006/metadata/properties" ma:root="true" ma:fieldsID="5d2cc191f3ea6ac9560c986c937e6c0e" ns2:_="" ns3:_="">
    <xsd:import namespace="829623c0-46fb-43a5-bae2-543d7ba09c02"/>
    <xsd:import namespace="4481cb67-3781-40ef-adc9-f07a04a9ac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_Flow_SignoffStatus" minOccurs="0"/>
                <xsd:element ref="ns2:Version_x0020_test"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623c0-46fb-43a5-bae2-543d7ba09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Version_x0020_test" ma:index="13" nillable="true" ma:displayName="Version test" ma:format="Dropdown" ma:internalName="Version_x0020_test" ma:percentage="FALSE">
      <xsd:simpleType>
        <xsd:restriction base="dms:Number"/>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e66ec1-db7b-4da5-988b-4d2f64c5ff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81cb67-3781-40ef-adc9-f07a04a9ac7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a0a3f89-b742-49ee-801f-019654be5cac}" ma:internalName="TaxCatchAll" ma:showField="CatchAllData" ma:web="4481cb67-3781-40ef-adc9-f07a04a9a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9623c0-46fb-43a5-bae2-543d7ba09c02">
      <Terms xmlns="http://schemas.microsoft.com/office/infopath/2007/PartnerControls"/>
    </lcf76f155ced4ddcb4097134ff3c332f>
    <TaxCatchAll xmlns="4481cb67-3781-40ef-adc9-f07a04a9ac7a" xsi:nil="true"/>
    <Version_x0020_test xmlns="829623c0-46fb-43a5-bae2-543d7ba09c02" xsi:nil="true"/>
    <_Flow_SignoffStatus xmlns="829623c0-46fb-43a5-bae2-543d7ba09c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CEF1-1C9F-46C9-831C-DFDFDDBE2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623c0-46fb-43a5-bae2-543d7ba09c02"/>
    <ds:schemaRef ds:uri="4481cb67-3781-40ef-adc9-f07a04a9a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EC388-D461-4A1A-A1A9-B37EA39107F3}">
  <ds:schemaRefs>
    <ds:schemaRef ds:uri="http://schemas.microsoft.com/sharepoint/v3/contenttype/forms"/>
  </ds:schemaRefs>
</ds:datastoreItem>
</file>

<file path=customXml/itemProps3.xml><?xml version="1.0" encoding="utf-8"?>
<ds:datastoreItem xmlns:ds="http://schemas.openxmlformats.org/officeDocument/2006/customXml" ds:itemID="{789A1552-D2CE-4209-A20D-1185E92D9450}">
  <ds:schemaRefs>
    <ds:schemaRef ds:uri="http://schemas.microsoft.com/office/2006/metadata/properties"/>
    <ds:schemaRef ds:uri="http://schemas.microsoft.com/office/infopath/2007/PartnerControls"/>
    <ds:schemaRef ds:uri="829623c0-46fb-43a5-bae2-543d7ba09c02"/>
    <ds:schemaRef ds:uri="4481cb67-3781-40ef-adc9-f07a04a9ac7a"/>
  </ds:schemaRefs>
</ds:datastoreItem>
</file>

<file path=customXml/itemProps4.xml><?xml version="1.0" encoding="utf-8"?>
<ds:datastoreItem xmlns:ds="http://schemas.openxmlformats.org/officeDocument/2006/customXml" ds:itemID="{ED9F729D-E269-447F-B52F-4E21B4A68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CA_document with block header.dotm</Template>
  <TotalTime>1</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FEDERAL BUDGET SUMMARY  October 2022</vt:lpstr>
    </vt:vector>
  </TitlesOfParts>
  <Company/>
  <LinksUpToDate>false</LinksUpToDate>
  <CharactersWithSpaces>12887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BUDGET SUMMARY May 2023</dc:title>
  <dc:subject/>
  <dc:creator>Kathy Toskovski</dc:creator>
  <cp:keywords/>
  <dc:description/>
  <cp:lastModifiedBy>Lea Dimovski</cp:lastModifiedBy>
  <cp:revision>2</cp:revision>
  <dcterms:created xsi:type="dcterms:W3CDTF">2023-05-09T23:16:00Z</dcterms:created>
  <dcterms:modified xsi:type="dcterms:W3CDTF">2023-05-09T23:16:00Z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0x0101000BF428D8453BCA448CC2F35DB62A4E39</vt:lpwstr>
  </property>
</Properties>
</file>